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A25F6">
      <w:pPr>
        <w:spacing w:line="680" w:lineRule="exact"/>
        <w:rPr>
          <w:rFonts w:ascii="方正小标宋简体" w:hAnsi="宋体" w:eastAsia="方正小标宋简体"/>
          <w:sz w:val="44"/>
          <w:szCs w:val="44"/>
        </w:rPr>
      </w:pPr>
    </w:p>
    <w:p w14:paraId="3244F8D2">
      <w:pPr>
        <w:spacing w:line="360" w:lineRule="auto"/>
        <w:jc w:val="center"/>
        <w:rPr>
          <w:rFonts w:hint="eastAsia" w:ascii="宋体" w:hAnsi="宋体" w:cs="宋体"/>
          <w:b/>
          <w:bCs/>
          <w:sz w:val="52"/>
          <w:szCs w:val="52"/>
        </w:rPr>
      </w:pPr>
    </w:p>
    <w:p w14:paraId="297A0F64">
      <w:pPr>
        <w:spacing w:line="360" w:lineRule="auto"/>
        <w:jc w:val="center"/>
        <w:rPr>
          <w:rFonts w:hint="eastAsia" w:ascii="宋体" w:hAnsi="宋体" w:cs="宋体"/>
          <w:b/>
          <w:bCs/>
          <w:sz w:val="44"/>
          <w:szCs w:val="44"/>
          <w:u w:val="single"/>
          <w:lang w:eastAsia="zh-CN"/>
        </w:rPr>
      </w:pPr>
      <w:r>
        <w:rPr>
          <w:rFonts w:hint="eastAsia" w:ascii="宋体" w:hAnsi="宋体" w:cs="宋体"/>
          <w:b/>
          <w:bCs/>
          <w:sz w:val="44"/>
          <w:szCs w:val="44"/>
          <w:u w:val="single"/>
        </w:rPr>
        <w:t xml:space="preserve"> 民用航空系交互智能平板一体机</w:t>
      </w:r>
      <w:r>
        <w:rPr>
          <w:rFonts w:hint="eastAsia" w:ascii="宋体" w:hAnsi="宋体" w:cs="宋体"/>
          <w:b/>
          <w:bCs/>
          <w:sz w:val="44"/>
          <w:szCs w:val="44"/>
          <w:u w:val="single"/>
          <w:lang w:eastAsia="zh-CN"/>
        </w:rPr>
        <w:t>、</w:t>
      </w:r>
    </w:p>
    <w:p w14:paraId="1A926882">
      <w:pPr>
        <w:spacing w:line="360" w:lineRule="auto"/>
        <w:jc w:val="center"/>
        <w:rPr>
          <w:rFonts w:ascii="宋体" w:hAnsi="宋体" w:cs="宋体"/>
          <w:b/>
          <w:bCs/>
          <w:sz w:val="52"/>
          <w:szCs w:val="52"/>
        </w:rPr>
      </w:pPr>
      <w:r>
        <w:rPr>
          <w:rFonts w:hint="eastAsia" w:ascii="宋体" w:hAnsi="宋体" w:cs="宋体"/>
          <w:b/>
          <w:bCs/>
          <w:sz w:val="44"/>
          <w:szCs w:val="44"/>
          <w:u w:val="single"/>
          <w:lang w:eastAsia="zh-CN"/>
        </w:rPr>
        <w:t>立柜式空调</w:t>
      </w:r>
      <w:r>
        <w:rPr>
          <w:rFonts w:hint="eastAsia" w:ascii="宋体" w:hAnsi="宋体" w:cs="宋体"/>
          <w:b/>
          <w:bCs/>
          <w:sz w:val="44"/>
          <w:szCs w:val="44"/>
          <w:u w:val="single"/>
          <w:lang w:val="en-US" w:eastAsia="zh-CN"/>
        </w:rPr>
        <w:t xml:space="preserve"> </w:t>
      </w:r>
      <w:r>
        <w:rPr>
          <w:rFonts w:hint="eastAsia" w:ascii="宋体" w:hAnsi="宋体" w:cs="宋体"/>
          <w:b/>
          <w:bCs/>
          <w:sz w:val="44"/>
          <w:szCs w:val="44"/>
        </w:rPr>
        <w:t>项目采购</w:t>
      </w:r>
    </w:p>
    <w:p w14:paraId="1CD9DE37">
      <w:pPr>
        <w:jc w:val="center"/>
        <w:rPr>
          <w:rFonts w:ascii="宋体" w:hAnsi="宋体" w:cs="宋体"/>
          <w:b/>
          <w:bCs/>
          <w:sz w:val="52"/>
          <w:szCs w:val="52"/>
        </w:rPr>
      </w:pPr>
    </w:p>
    <w:p w14:paraId="1084D088">
      <w:pPr>
        <w:jc w:val="center"/>
        <w:rPr>
          <w:rFonts w:ascii="宋体" w:hAnsi="宋体" w:cs="宋体"/>
          <w:b/>
          <w:bCs/>
          <w:sz w:val="52"/>
          <w:szCs w:val="52"/>
        </w:rPr>
      </w:pPr>
    </w:p>
    <w:p w14:paraId="76ADDFA3">
      <w:pPr>
        <w:jc w:val="center"/>
        <w:rPr>
          <w:rFonts w:ascii="宋体" w:hAnsi="宋体" w:cs="宋体"/>
          <w:b/>
          <w:sz w:val="72"/>
          <w:szCs w:val="20"/>
        </w:rPr>
      </w:pPr>
      <w:r>
        <w:rPr>
          <w:rFonts w:hint="eastAsia" w:ascii="宋体" w:hAnsi="宋体" w:cs="宋体"/>
          <w:b/>
          <w:sz w:val="72"/>
          <w:szCs w:val="20"/>
        </w:rPr>
        <w:t>询</w:t>
      </w:r>
    </w:p>
    <w:p w14:paraId="4BA6C199">
      <w:pPr>
        <w:jc w:val="center"/>
        <w:rPr>
          <w:rFonts w:ascii="宋体" w:hAnsi="宋体" w:cs="宋体"/>
          <w:b/>
          <w:sz w:val="72"/>
          <w:szCs w:val="20"/>
        </w:rPr>
      </w:pPr>
    </w:p>
    <w:p w14:paraId="00259027">
      <w:pPr>
        <w:jc w:val="center"/>
        <w:rPr>
          <w:rFonts w:ascii="宋体" w:hAnsi="宋体" w:cs="宋体"/>
          <w:b/>
          <w:sz w:val="72"/>
          <w:szCs w:val="20"/>
        </w:rPr>
      </w:pPr>
      <w:r>
        <w:rPr>
          <w:rFonts w:hint="eastAsia" w:ascii="宋体" w:hAnsi="宋体" w:cs="宋体"/>
          <w:b/>
          <w:sz w:val="72"/>
          <w:szCs w:val="20"/>
        </w:rPr>
        <w:t>价</w:t>
      </w:r>
    </w:p>
    <w:p w14:paraId="01584A6D">
      <w:pPr>
        <w:pStyle w:val="27"/>
        <w:jc w:val="center"/>
        <w:rPr>
          <w:rFonts w:ascii="宋体" w:hAnsi="宋体" w:cs="宋体"/>
          <w:b/>
          <w:sz w:val="72"/>
          <w:szCs w:val="20"/>
        </w:rPr>
      </w:pPr>
    </w:p>
    <w:p w14:paraId="589E17BB">
      <w:pPr>
        <w:jc w:val="center"/>
        <w:rPr>
          <w:rFonts w:ascii="宋体" w:hAnsi="宋体" w:cs="宋体"/>
          <w:b/>
          <w:sz w:val="72"/>
          <w:szCs w:val="20"/>
        </w:rPr>
      </w:pPr>
      <w:r>
        <w:rPr>
          <w:rFonts w:hint="eastAsia" w:ascii="宋体" w:hAnsi="宋体" w:cs="宋体"/>
          <w:b/>
          <w:sz w:val="72"/>
          <w:szCs w:val="20"/>
        </w:rPr>
        <w:t>文</w:t>
      </w:r>
    </w:p>
    <w:p w14:paraId="56C1E9B7">
      <w:pPr>
        <w:jc w:val="center"/>
        <w:rPr>
          <w:rFonts w:ascii="宋体" w:hAnsi="宋体" w:cs="宋体"/>
          <w:b/>
          <w:sz w:val="72"/>
          <w:szCs w:val="20"/>
        </w:rPr>
      </w:pPr>
    </w:p>
    <w:p w14:paraId="7B288984">
      <w:pPr>
        <w:jc w:val="center"/>
        <w:rPr>
          <w:rFonts w:ascii="宋体" w:hAnsi="宋体" w:cs="宋体"/>
          <w:b/>
          <w:sz w:val="72"/>
          <w:szCs w:val="20"/>
        </w:rPr>
      </w:pPr>
      <w:r>
        <w:rPr>
          <w:rFonts w:hint="eastAsia" w:ascii="宋体" w:hAnsi="宋体" w:cs="宋体"/>
          <w:b/>
          <w:sz w:val="72"/>
          <w:szCs w:val="20"/>
        </w:rPr>
        <w:t>件</w:t>
      </w:r>
    </w:p>
    <w:p w14:paraId="3EF1C27F">
      <w:pPr>
        <w:jc w:val="center"/>
        <w:rPr>
          <w:rFonts w:ascii="宋体" w:hAnsi="宋体" w:cs="宋体"/>
          <w:b/>
          <w:sz w:val="72"/>
          <w:szCs w:val="20"/>
        </w:rPr>
      </w:pPr>
    </w:p>
    <w:p w14:paraId="794F028A">
      <w:pPr>
        <w:spacing w:line="680" w:lineRule="exact"/>
        <w:jc w:val="center"/>
        <w:rPr>
          <w:rFonts w:hint="eastAsia" w:ascii="宋体" w:hAnsi="宋体"/>
          <w:b/>
          <w:sz w:val="32"/>
          <w:szCs w:val="32"/>
        </w:rPr>
      </w:pPr>
      <w:r>
        <w:rPr>
          <w:rFonts w:hint="eastAsia" w:ascii="宋体" w:hAnsi="宋体"/>
          <w:b/>
          <w:sz w:val="32"/>
          <w:szCs w:val="32"/>
        </w:rPr>
        <w:t>采购人： 广西交通技师学院</w:t>
      </w:r>
    </w:p>
    <w:p w14:paraId="437F48D1">
      <w:pPr>
        <w:spacing w:line="520" w:lineRule="exact"/>
        <w:ind w:firstLine="2880" w:firstLineChars="1200"/>
        <w:rPr>
          <w:sz w:val="24"/>
          <w:u w:val="single"/>
        </w:rPr>
      </w:pPr>
    </w:p>
    <w:p w14:paraId="78B7A4FA">
      <w:pPr>
        <w:spacing w:line="520" w:lineRule="exact"/>
        <w:jc w:val="center"/>
        <w:rPr>
          <w:rFonts w:hint="eastAsia" w:ascii="宋体" w:hAnsi="宋体"/>
          <w:b/>
          <w:sz w:val="32"/>
          <w:szCs w:val="32"/>
        </w:rPr>
      </w:pPr>
      <w:r>
        <w:rPr>
          <w:rFonts w:hint="eastAsia" w:ascii="宋体" w:hAnsi="宋体"/>
          <w:b/>
          <w:sz w:val="32"/>
          <w:szCs w:val="32"/>
        </w:rPr>
        <w:t>202</w:t>
      </w:r>
      <w:r>
        <w:rPr>
          <w:rFonts w:hint="eastAsia" w:ascii="宋体" w:hAnsi="宋体"/>
          <w:b/>
          <w:sz w:val="32"/>
          <w:szCs w:val="32"/>
          <w:lang w:val="en-US" w:eastAsia="zh-CN"/>
        </w:rPr>
        <w:t>5</w:t>
      </w:r>
      <w:r>
        <w:rPr>
          <w:rFonts w:hint="eastAsia" w:ascii="宋体" w:hAnsi="宋体"/>
          <w:b/>
          <w:sz w:val="32"/>
          <w:szCs w:val="32"/>
        </w:rPr>
        <w:t>年</w:t>
      </w:r>
      <w:r>
        <w:rPr>
          <w:rFonts w:hint="eastAsia" w:ascii="宋体" w:hAnsi="宋体"/>
          <w:b/>
          <w:sz w:val="32"/>
          <w:szCs w:val="32"/>
          <w:lang w:val="en-US" w:eastAsia="zh-CN"/>
        </w:rPr>
        <w:t>11</w:t>
      </w:r>
      <w:r>
        <w:rPr>
          <w:rFonts w:hint="eastAsia" w:ascii="宋体" w:hAnsi="宋体"/>
          <w:b/>
          <w:sz w:val="32"/>
          <w:szCs w:val="32"/>
        </w:rPr>
        <w:t>月</w:t>
      </w:r>
      <w:r>
        <w:rPr>
          <w:rFonts w:hint="eastAsia" w:ascii="宋体" w:hAnsi="宋体"/>
          <w:b/>
          <w:sz w:val="32"/>
          <w:szCs w:val="32"/>
          <w:lang w:val="en-US" w:eastAsia="zh-CN"/>
        </w:rPr>
        <w:t>3</w:t>
      </w:r>
      <w:r>
        <w:rPr>
          <w:rFonts w:hint="eastAsia" w:ascii="宋体" w:hAnsi="宋体"/>
          <w:b/>
          <w:sz w:val="32"/>
          <w:szCs w:val="32"/>
        </w:rPr>
        <w:t>日</w:t>
      </w:r>
    </w:p>
    <w:p w14:paraId="41C760D9">
      <w:pPr>
        <w:spacing w:line="360" w:lineRule="auto"/>
        <w:jc w:val="center"/>
        <w:rPr>
          <w:rFonts w:hint="eastAsia" w:ascii="黑体" w:hAnsi="黑体" w:eastAsia="黑体" w:cs="黑体"/>
          <w:b/>
          <w:sz w:val="44"/>
          <w:szCs w:val="44"/>
        </w:rPr>
      </w:pPr>
      <w:r>
        <w:rPr>
          <w:rFonts w:hint="eastAsia" w:ascii="宋体" w:hAnsi="宋体"/>
          <w:b/>
          <w:sz w:val="32"/>
          <w:szCs w:val="32"/>
        </w:rPr>
        <w:br w:type="page"/>
      </w:r>
      <w:bookmarkStart w:id="0" w:name="_Toc325464812"/>
      <w:r>
        <w:rPr>
          <w:rFonts w:hint="eastAsia" w:ascii="黑体" w:hAnsi="黑体" w:eastAsia="黑体" w:cs="黑体"/>
          <w:b/>
          <w:sz w:val="44"/>
          <w:szCs w:val="44"/>
        </w:rPr>
        <w:t>第一章  询价公告</w:t>
      </w:r>
    </w:p>
    <w:p w14:paraId="221BFCBA">
      <w:pPr>
        <w:spacing w:line="360" w:lineRule="auto"/>
        <w:ind w:firstLine="640" w:firstLineChars="200"/>
        <w:rPr>
          <w:rFonts w:hint="eastAsia" w:ascii="宋体" w:hAnsi="宋体" w:cs="宋体"/>
          <w:sz w:val="32"/>
          <w:szCs w:val="32"/>
        </w:rPr>
      </w:pPr>
      <w:r>
        <w:rPr>
          <w:rFonts w:hint="eastAsia" w:ascii="宋体" w:hAnsi="宋体" w:cs="宋体"/>
          <w:sz w:val="32"/>
          <w:szCs w:val="32"/>
          <w:u w:val="single"/>
        </w:rPr>
        <w:t>广西交通技师学院</w:t>
      </w:r>
      <w:r>
        <w:rPr>
          <w:rFonts w:hint="eastAsia" w:ascii="宋体" w:hAnsi="宋体" w:cs="宋体"/>
          <w:sz w:val="32"/>
          <w:szCs w:val="32"/>
        </w:rPr>
        <w:t>（采购人名称）就</w:t>
      </w:r>
      <w:r>
        <w:rPr>
          <w:rFonts w:hint="eastAsia" w:ascii="宋体" w:hAnsi="宋体" w:cs="宋体"/>
          <w:sz w:val="32"/>
          <w:szCs w:val="32"/>
          <w:u w:val="single"/>
        </w:rPr>
        <w:t xml:space="preserve"> 民用航空系交互智能平板一体机</w:t>
      </w:r>
      <w:r>
        <w:rPr>
          <w:rFonts w:hint="eastAsia" w:ascii="宋体" w:hAnsi="宋体" w:cs="宋体"/>
          <w:sz w:val="32"/>
          <w:szCs w:val="32"/>
          <w:u w:val="single"/>
          <w:lang w:eastAsia="zh-CN"/>
        </w:rPr>
        <w:t>、</w:t>
      </w:r>
      <w:r>
        <w:rPr>
          <w:rFonts w:hint="eastAsia" w:ascii="宋体" w:hAnsi="宋体" w:cs="宋体"/>
          <w:sz w:val="32"/>
          <w:szCs w:val="32"/>
          <w:u w:val="single"/>
        </w:rPr>
        <w:t xml:space="preserve">立柜式空调 </w:t>
      </w:r>
      <w:r>
        <w:rPr>
          <w:rFonts w:hint="eastAsia" w:ascii="宋体" w:hAnsi="宋体" w:cs="宋体"/>
          <w:sz w:val="32"/>
          <w:szCs w:val="32"/>
        </w:rPr>
        <w:t>项目组织询价采购。</w:t>
      </w:r>
    </w:p>
    <w:p w14:paraId="5BE0376B">
      <w:pPr>
        <w:numPr>
          <w:ilvl w:val="0"/>
          <w:numId w:val="1"/>
        </w:numPr>
        <w:spacing w:line="360" w:lineRule="auto"/>
        <w:ind w:firstLine="640" w:firstLineChars="200"/>
        <w:rPr>
          <w:rFonts w:hint="default" w:ascii="宋体" w:hAnsi="宋体" w:eastAsia="宋体" w:cs="宋体"/>
          <w:sz w:val="32"/>
          <w:szCs w:val="32"/>
          <w:lang w:val="en-US" w:eastAsia="zh-CN"/>
        </w:rPr>
      </w:pPr>
      <w:r>
        <w:rPr>
          <w:rFonts w:hint="eastAsia" w:ascii="宋体" w:hAnsi="宋体" w:cs="宋体"/>
          <w:sz w:val="32"/>
          <w:szCs w:val="32"/>
        </w:rPr>
        <w:t>采购项目概况</w:t>
      </w:r>
    </w:p>
    <w:p w14:paraId="3CA4ED2F">
      <w:pPr>
        <w:numPr>
          <w:ilvl w:val="0"/>
          <w:numId w:val="0"/>
        </w:num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单位：元</w:t>
      </w:r>
    </w:p>
    <w:tbl>
      <w:tblPr>
        <w:tblStyle w:val="16"/>
        <w:tblpPr w:leftFromText="180" w:rightFromText="180" w:vertAnchor="text" w:horzAnchor="page" w:tblpX="1050" w:tblpY="151"/>
        <w:tblOverlap w:val="never"/>
        <w:tblW w:w="9862" w:type="dxa"/>
        <w:tblInd w:w="0" w:type="dxa"/>
        <w:tblLayout w:type="fixed"/>
        <w:tblCellMar>
          <w:top w:w="0" w:type="dxa"/>
          <w:left w:w="108" w:type="dxa"/>
          <w:bottom w:w="0" w:type="dxa"/>
          <w:right w:w="108" w:type="dxa"/>
        </w:tblCellMar>
      </w:tblPr>
      <w:tblGrid>
        <w:gridCol w:w="737"/>
        <w:gridCol w:w="2630"/>
        <w:gridCol w:w="1789"/>
        <w:gridCol w:w="956"/>
        <w:gridCol w:w="1020"/>
        <w:gridCol w:w="1380"/>
        <w:gridCol w:w="1350"/>
      </w:tblGrid>
      <w:tr w14:paraId="4AF53422">
        <w:tblPrEx>
          <w:tblCellMar>
            <w:top w:w="0" w:type="dxa"/>
            <w:left w:w="108" w:type="dxa"/>
            <w:bottom w:w="0" w:type="dxa"/>
            <w:right w:w="108" w:type="dxa"/>
          </w:tblCellMar>
        </w:tblPrEx>
        <w:trPr>
          <w:trHeight w:val="672" w:hRule="atLeast"/>
        </w:trPr>
        <w:tc>
          <w:tcPr>
            <w:tcW w:w="737" w:type="dxa"/>
            <w:tcBorders>
              <w:top w:val="single" w:color="auto" w:sz="4" w:space="0"/>
              <w:left w:val="single" w:color="auto" w:sz="4" w:space="0"/>
              <w:bottom w:val="single" w:color="auto" w:sz="4" w:space="0"/>
              <w:right w:val="single" w:color="auto" w:sz="4" w:space="0"/>
            </w:tcBorders>
            <w:noWrap/>
            <w:vAlign w:val="center"/>
          </w:tcPr>
          <w:p w14:paraId="016CF679">
            <w:pPr>
              <w:keepNext w:val="0"/>
              <w:keepLines w:val="0"/>
              <w:suppressLineNumbers w:val="0"/>
              <w:spacing w:before="0" w:beforeAutospacing="0" w:after="0" w:afterAutospacing="0"/>
              <w:ind w:left="0" w:right="0"/>
              <w:jc w:val="center"/>
              <w:rPr>
                <w:rFonts w:hint="default" w:ascii="宋体" w:hAnsi="宋体" w:cs="宋体"/>
                <w:b/>
                <w:sz w:val="24"/>
              </w:rPr>
            </w:pPr>
            <w:r>
              <w:rPr>
                <w:rFonts w:hint="eastAsia" w:ascii="宋体" w:hAnsi="宋体" w:cs="宋体"/>
                <w:b/>
                <w:sz w:val="24"/>
              </w:rPr>
              <w:t>序号</w:t>
            </w:r>
          </w:p>
        </w:tc>
        <w:tc>
          <w:tcPr>
            <w:tcW w:w="2630" w:type="dxa"/>
            <w:tcBorders>
              <w:top w:val="single" w:color="auto" w:sz="4" w:space="0"/>
              <w:left w:val="nil"/>
              <w:bottom w:val="single" w:color="auto" w:sz="4" w:space="0"/>
              <w:right w:val="single" w:color="auto" w:sz="4" w:space="0"/>
            </w:tcBorders>
            <w:noWrap w:val="0"/>
            <w:vAlign w:val="center"/>
          </w:tcPr>
          <w:p w14:paraId="4B8B265A">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货物（服务、工程）</w:t>
            </w:r>
          </w:p>
          <w:p w14:paraId="1D45CCDA">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名称</w:t>
            </w:r>
          </w:p>
        </w:tc>
        <w:tc>
          <w:tcPr>
            <w:tcW w:w="1789" w:type="dxa"/>
            <w:tcBorders>
              <w:top w:val="single" w:color="auto" w:sz="4" w:space="0"/>
              <w:left w:val="nil"/>
              <w:bottom w:val="single" w:color="auto" w:sz="4" w:space="0"/>
              <w:right w:val="single" w:color="auto" w:sz="4" w:space="0"/>
            </w:tcBorders>
            <w:noWrap/>
            <w:vAlign w:val="center"/>
          </w:tcPr>
          <w:p w14:paraId="16313033">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规格型号</w:t>
            </w:r>
          </w:p>
        </w:tc>
        <w:tc>
          <w:tcPr>
            <w:tcW w:w="956" w:type="dxa"/>
            <w:tcBorders>
              <w:top w:val="single" w:color="auto" w:sz="4" w:space="0"/>
              <w:left w:val="nil"/>
              <w:bottom w:val="single" w:color="auto" w:sz="4" w:space="0"/>
              <w:right w:val="single" w:color="auto" w:sz="4" w:space="0"/>
            </w:tcBorders>
            <w:noWrap/>
            <w:vAlign w:val="center"/>
          </w:tcPr>
          <w:p w14:paraId="002FCA7E">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数量</w:t>
            </w:r>
          </w:p>
        </w:tc>
        <w:tc>
          <w:tcPr>
            <w:tcW w:w="1020" w:type="dxa"/>
            <w:tcBorders>
              <w:top w:val="single" w:color="auto" w:sz="4" w:space="0"/>
              <w:left w:val="nil"/>
              <w:bottom w:val="single" w:color="auto" w:sz="4" w:space="0"/>
              <w:right w:val="single" w:color="auto" w:sz="4" w:space="0"/>
            </w:tcBorders>
            <w:noWrap/>
            <w:vAlign w:val="center"/>
          </w:tcPr>
          <w:p w14:paraId="625259EF">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单位</w:t>
            </w:r>
          </w:p>
        </w:tc>
        <w:tc>
          <w:tcPr>
            <w:tcW w:w="1380" w:type="dxa"/>
            <w:tcBorders>
              <w:top w:val="single" w:color="auto" w:sz="4" w:space="0"/>
              <w:left w:val="nil"/>
              <w:bottom w:val="single" w:color="auto" w:sz="4" w:space="0"/>
              <w:right w:val="single" w:color="auto" w:sz="4" w:space="0"/>
            </w:tcBorders>
            <w:noWrap w:val="0"/>
            <w:vAlign w:val="center"/>
          </w:tcPr>
          <w:p w14:paraId="66DB2902">
            <w:pPr>
              <w:keepNext w:val="0"/>
              <w:keepLines w:val="0"/>
              <w:suppressLineNumbers w:val="0"/>
              <w:spacing w:before="0" w:beforeAutospacing="0" w:after="0" w:afterAutospacing="0"/>
              <w:ind w:left="0" w:right="0"/>
              <w:jc w:val="center"/>
              <w:rPr>
                <w:rFonts w:hint="eastAsia" w:ascii="宋体" w:hAnsi="宋体" w:eastAsia="宋体" w:cs="宋体"/>
                <w:b/>
                <w:sz w:val="24"/>
                <w:lang w:val="en-US" w:eastAsia="zh-CN"/>
              </w:rPr>
            </w:pPr>
            <w:r>
              <w:rPr>
                <w:rFonts w:hint="eastAsia" w:ascii="宋体" w:hAnsi="宋体" w:cs="宋体"/>
                <w:b/>
                <w:sz w:val="24"/>
                <w:lang w:val="en-US" w:eastAsia="zh-CN"/>
              </w:rPr>
              <w:t>预算金额</w:t>
            </w:r>
          </w:p>
        </w:tc>
        <w:tc>
          <w:tcPr>
            <w:tcW w:w="1350" w:type="dxa"/>
            <w:tcBorders>
              <w:top w:val="single" w:color="auto" w:sz="4" w:space="0"/>
              <w:left w:val="nil"/>
              <w:bottom w:val="single" w:color="auto" w:sz="4" w:space="0"/>
              <w:right w:val="single" w:color="auto" w:sz="4" w:space="0"/>
            </w:tcBorders>
            <w:noWrap w:val="0"/>
            <w:vAlign w:val="center"/>
          </w:tcPr>
          <w:p w14:paraId="328BFB01">
            <w:pPr>
              <w:keepNext w:val="0"/>
              <w:keepLines w:val="0"/>
              <w:suppressLineNumbers w:val="0"/>
              <w:spacing w:before="0" w:beforeAutospacing="0" w:after="0" w:afterAutospacing="0"/>
              <w:ind w:left="0" w:right="0"/>
              <w:jc w:val="center"/>
              <w:rPr>
                <w:rFonts w:hint="eastAsia" w:ascii="宋体" w:hAnsi="宋体" w:eastAsia="宋体" w:cs="宋体"/>
                <w:b/>
                <w:sz w:val="24"/>
                <w:lang w:val="en-US" w:eastAsia="zh-CN"/>
              </w:rPr>
            </w:pPr>
            <w:r>
              <w:rPr>
                <w:rFonts w:hint="eastAsia" w:ascii="宋体" w:hAnsi="宋体" w:cs="宋体"/>
                <w:b/>
                <w:sz w:val="24"/>
                <w:lang w:val="en-US" w:eastAsia="zh-CN"/>
              </w:rPr>
              <w:t>预算合计</w:t>
            </w:r>
          </w:p>
        </w:tc>
      </w:tr>
      <w:tr w14:paraId="52F62D79">
        <w:tblPrEx>
          <w:tblCellMar>
            <w:top w:w="0" w:type="dxa"/>
            <w:left w:w="108" w:type="dxa"/>
            <w:bottom w:w="0" w:type="dxa"/>
            <w:right w:w="108" w:type="dxa"/>
          </w:tblCellMar>
        </w:tblPrEx>
        <w:trPr>
          <w:trHeight w:val="982" w:hRule="atLeast"/>
        </w:trPr>
        <w:tc>
          <w:tcPr>
            <w:tcW w:w="737" w:type="dxa"/>
            <w:tcBorders>
              <w:top w:val="nil"/>
              <w:left w:val="single" w:color="auto" w:sz="4" w:space="0"/>
              <w:bottom w:val="single" w:color="auto" w:sz="4" w:space="0"/>
              <w:right w:val="single" w:color="auto" w:sz="4" w:space="0"/>
            </w:tcBorders>
            <w:noWrap/>
            <w:vAlign w:val="center"/>
          </w:tcPr>
          <w:p w14:paraId="0355E0F9">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kern w:val="0"/>
                <w:sz w:val="22"/>
                <w:szCs w:val="22"/>
                <w:lang w:bidi="ar"/>
              </w:rPr>
            </w:pPr>
            <w:r>
              <w:rPr>
                <w:rFonts w:hint="eastAsia" w:ascii="宋体" w:hAnsi="宋体" w:cs="宋体"/>
                <w:kern w:val="0"/>
                <w:sz w:val="22"/>
                <w:szCs w:val="22"/>
                <w:lang w:bidi="ar"/>
              </w:rPr>
              <w:t>1</w:t>
            </w:r>
          </w:p>
        </w:tc>
        <w:tc>
          <w:tcPr>
            <w:tcW w:w="2630" w:type="dxa"/>
            <w:tcBorders>
              <w:top w:val="nil"/>
              <w:left w:val="nil"/>
              <w:bottom w:val="single" w:color="auto" w:sz="4" w:space="0"/>
              <w:right w:val="single" w:color="auto" w:sz="4" w:space="0"/>
            </w:tcBorders>
            <w:noWrap/>
            <w:vAlign w:val="center"/>
          </w:tcPr>
          <w:p w14:paraId="4AE429A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kern w:val="0"/>
                <w:sz w:val="24"/>
              </w:rPr>
            </w:pPr>
            <w:r>
              <w:rPr>
                <w:rFonts w:hint="eastAsia" w:ascii="宋体" w:hAnsi="宋体" w:cs="宋体"/>
                <w:kern w:val="0"/>
                <w:sz w:val="24"/>
              </w:rPr>
              <w:t>交互智能平板一体机</w:t>
            </w:r>
          </w:p>
        </w:tc>
        <w:tc>
          <w:tcPr>
            <w:tcW w:w="1789" w:type="dxa"/>
            <w:tcBorders>
              <w:top w:val="nil"/>
              <w:left w:val="nil"/>
              <w:bottom w:val="single" w:color="auto" w:sz="4" w:space="0"/>
              <w:right w:val="single" w:color="auto" w:sz="4" w:space="0"/>
            </w:tcBorders>
            <w:noWrap/>
            <w:vAlign w:val="center"/>
          </w:tcPr>
          <w:p w14:paraId="0049E82C">
            <w:pPr>
              <w:pStyle w:val="5"/>
              <w:keepNext w:val="0"/>
              <w:keepLines w:val="0"/>
              <w:suppressLineNumbers w:val="0"/>
              <w:spacing w:before="0" w:beforeAutospacing="0" w:afterAutospacing="0" w:line="360" w:lineRule="auto"/>
              <w:ind w:left="0" w:right="0"/>
              <w:jc w:val="center"/>
              <w:rPr>
                <w:rFonts w:hint="default" w:ascii="Times New Roman" w:hAnsi="Times New Roman"/>
              </w:rPr>
            </w:pPr>
            <w:r>
              <w:rPr>
                <w:rFonts w:hint="eastAsia" w:ascii="宋体" w:hAnsi="宋体" w:cs="宋体"/>
                <w:sz w:val="24"/>
              </w:rPr>
              <w:t>参数详见附件</w:t>
            </w:r>
          </w:p>
        </w:tc>
        <w:tc>
          <w:tcPr>
            <w:tcW w:w="956" w:type="dxa"/>
            <w:tcBorders>
              <w:top w:val="nil"/>
              <w:left w:val="nil"/>
              <w:bottom w:val="single" w:color="auto" w:sz="4" w:space="0"/>
              <w:right w:val="single" w:color="auto" w:sz="4" w:space="0"/>
            </w:tcBorders>
            <w:noWrap/>
            <w:vAlign w:val="center"/>
          </w:tcPr>
          <w:p w14:paraId="2E707D5B">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kern w:val="0"/>
                <w:sz w:val="24"/>
              </w:rPr>
            </w:pPr>
            <w:r>
              <w:rPr>
                <w:rFonts w:hint="eastAsia" w:ascii="宋体" w:hAnsi="宋体" w:cs="宋体"/>
                <w:kern w:val="0"/>
                <w:sz w:val="24"/>
              </w:rPr>
              <w:t>1</w:t>
            </w:r>
          </w:p>
        </w:tc>
        <w:tc>
          <w:tcPr>
            <w:tcW w:w="1020" w:type="dxa"/>
            <w:tcBorders>
              <w:top w:val="nil"/>
              <w:left w:val="nil"/>
              <w:bottom w:val="single" w:color="auto" w:sz="4" w:space="0"/>
              <w:right w:val="single" w:color="auto" w:sz="4" w:space="0"/>
            </w:tcBorders>
            <w:noWrap/>
            <w:vAlign w:val="center"/>
          </w:tcPr>
          <w:p w14:paraId="7DCAB9C0">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kern w:val="0"/>
                <w:sz w:val="24"/>
              </w:rPr>
            </w:pPr>
            <w:r>
              <w:rPr>
                <w:rFonts w:hint="eastAsia" w:ascii="宋体" w:hAnsi="宋体" w:cs="宋体"/>
                <w:kern w:val="0"/>
                <w:sz w:val="24"/>
              </w:rPr>
              <w:t>台</w:t>
            </w:r>
          </w:p>
        </w:tc>
        <w:tc>
          <w:tcPr>
            <w:tcW w:w="1380" w:type="dxa"/>
            <w:tcBorders>
              <w:top w:val="nil"/>
              <w:left w:val="nil"/>
              <w:bottom w:val="single" w:color="auto" w:sz="4" w:space="0"/>
              <w:right w:val="single" w:color="auto" w:sz="4" w:space="0"/>
            </w:tcBorders>
            <w:noWrap/>
            <w:vAlign w:val="center"/>
          </w:tcPr>
          <w:p w14:paraId="0C80546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26000</w:t>
            </w:r>
          </w:p>
        </w:tc>
        <w:tc>
          <w:tcPr>
            <w:tcW w:w="1350" w:type="dxa"/>
            <w:tcBorders>
              <w:top w:val="nil"/>
              <w:left w:val="nil"/>
              <w:bottom w:val="single" w:color="auto" w:sz="4" w:space="0"/>
              <w:right w:val="single" w:color="auto" w:sz="4" w:space="0"/>
            </w:tcBorders>
            <w:noWrap/>
            <w:vAlign w:val="center"/>
          </w:tcPr>
          <w:p w14:paraId="1381EED0">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26000</w:t>
            </w:r>
          </w:p>
        </w:tc>
      </w:tr>
      <w:tr w14:paraId="385DCC1F">
        <w:tblPrEx>
          <w:tblCellMar>
            <w:top w:w="0" w:type="dxa"/>
            <w:left w:w="108" w:type="dxa"/>
            <w:bottom w:w="0" w:type="dxa"/>
            <w:right w:w="108" w:type="dxa"/>
          </w:tblCellMar>
        </w:tblPrEx>
        <w:trPr>
          <w:trHeight w:val="982" w:hRule="atLeast"/>
        </w:trPr>
        <w:tc>
          <w:tcPr>
            <w:tcW w:w="737" w:type="dxa"/>
            <w:tcBorders>
              <w:top w:val="nil"/>
              <w:left w:val="single" w:color="auto" w:sz="4" w:space="0"/>
              <w:bottom w:val="single" w:color="auto" w:sz="4" w:space="0"/>
              <w:right w:val="single" w:color="auto" w:sz="4" w:space="0"/>
            </w:tcBorders>
            <w:noWrap/>
            <w:vAlign w:val="center"/>
          </w:tcPr>
          <w:p w14:paraId="67BA4F9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2</w:t>
            </w:r>
          </w:p>
        </w:tc>
        <w:tc>
          <w:tcPr>
            <w:tcW w:w="2630" w:type="dxa"/>
            <w:tcBorders>
              <w:top w:val="nil"/>
              <w:left w:val="nil"/>
              <w:bottom w:val="single" w:color="auto" w:sz="4" w:space="0"/>
              <w:right w:val="single" w:color="auto" w:sz="4" w:space="0"/>
            </w:tcBorders>
            <w:noWrap/>
            <w:vAlign w:val="center"/>
          </w:tcPr>
          <w:p w14:paraId="66E3ECD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kern w:val="0"/>
                <w:sz w:val="24"/>
              </w:rPr>
            </w:pPr>
            <w:r>
              <w:rPr>
                <w:rFonts w:hint="eastAsia" w:ascii="宋体" w:hAnsi="宋体" w:cs="宋体"/>
                <w:kern w:val="0"/>
                <w:sz w:val="24"/>
              </w:rPr>
              <w:t>立柜式空调</w:t>
            </w:r>
          </w:p>
        </w:tc>
        <w:tc>
          <w:tcPr>
            <w:tcW w:w="1789" w:type="dxa"/>
            <w:tcBorders>
              <w:top w:val="nil"/>
              <w:left w:val="nil"/>
              <w:bottom w:val="single" w:color="auto" w:sz="4" w:space="0"/>
              <w:right w:val="single" w:color="auto" w:sz="4" w:space="0"/>
            </w:tcBorders>
            <w:noWrap/>
            <w:vAlign w:val="center"/>
          </w:tcPr>
          <w:p w14:paraId="576A1EDB">
            <w:pPr>
              <w:pStyle w:val="5"/>
              <w:keepNext w:val="0"/>
              <w:keepLines w:val="0"/>
              <w:suppressLineNumbers w:val="0"/>
              <w:spacing w:before="0" w:beforeAutospacing="0" w:afterAutospacing="0" w:line="360" w:lineRule="auto"/>
              <w:ind w:left="0" w:right="0"/>
              <w:jc w:val="center"/>
              <w:rPr>
                <w:rFonts w:hint="eastAsia" w:ascii="宋体" w:hAnsi="宋体" w:cs="宋体"/>
                <w:sz w:val="24"/>
              </w:rPr>
            </w:pPr>
            <w:r>
              <w:rPr>
                <w:rFonts w:hint="eastAsia" w:ascii="宋体" w:hAnsi="宋体" w:cs="宋体"/>
                <w:sz w:val="24"/>
              </w:rPr>
              <w:t>参数详见附件</w:t>
            </w:r>
          </w:p>
        </w:tc>
        <w:tc>
          <w:tcPr>
            <w:tcW w:w="956" w:type="dxa"/>
            <w:tcBorders>
              <w:top w:val="nil"/>
              <w:left w:val="nil"/>
              <w:bottom w:val="single" w:color="auto" w:sz="4" w:space="0"/>
              <w:right w:val="single" w:color="auto" w:sz="4" w:space="0"/>
            </w:tcBorders>
            <w:noWrap/>
            <w:vAlign w:val="center"/>
          </w:tcPr>
          <w:p w14:paraId="24A5C56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3</w:t>
            </w:r>
          </w:p>
        </w:tc>
        <w:tc>
          <w:tcPr>
            <w:tcW w:w="1020" w:type="dxa"/>
            <w:tcBorders>
              <w:top w:val="nil"/>
              <w:left w:val="nil"/>
              <w:bottom w:val="single" w:color="auto" w:sz="4" w:space="0"/>
              <w:right w:val="single" w:color="auto" w:sz="4" w:space="0"/>
            </w:tcBorders>
            <w:noWrap/>
            <w:vAlign w:val="center"/>
          </w:tcPr>
          <w:p w14:paraId="3B90978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台</w:t>
            </w:r>
          </w:p>
        </w:tc>
        <w:tc>
          <w:tcPr>
            <w:tcW w:w="1380" w:type="dxa"/>
            <w:tcBorders>
              <w:top w:val="nil"/>
              <w:left w:val="nil"/>
              <w:bottom w:val="single" w:color="auto" w:sz="4" w:space="0"/>
              <w:right w:val="single" w:color="auto" w:sz="4" w:space="0"/>
            </w:tcBorders>
            <w:noWrap/>
            <w:vAlign w:val="center"/>
          </w:tcPr>
          <w:p w14:paraId="4A3FAD14">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7500</w:t>
            </w:r>
          </w:p>
        </w:tc>
        <w:tc>
          <w:tcPr>
            <w:tcW w:w="1350" w:type="dxa"/>
            <w:tcBorders>
              <w:top w:val="nil"/>
              <w:left w:val="nil"/>
              <w:bottom w:val="single" w:color="auto" w:sz="4" w:space="0"/>
              <w:right w:val="single" w:color="auto" w:sz="4" w:space="0"/>
            </w:tcBorders>
            <w:noWrap/>
            <w:vAlign w:val="center"/>
          </w:tcPr>
          <w:p w14:paraId="0D8AB23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22500</w:t>
            </w:r>
          </w:p>
        </w:tc>
      </w:tr>
      <w:tr w14:paraId="77B0AE71">
        <w:tblPrEx>
          <w:tblCellMar>
            <w:top w:w="0" w:type="dxa"/>
            <w:left w:w="108" w:type="dxa"/>
            <w:bottom w:w="0" w:type="dxa"/>
            <w:right w:w="108" w:type="dxa"/>
          </w:tblCellMar>
        </w:tblPrEx>
        <w:trPr>
          <w:trHeight w:val="697" w:hRule="atLeast"/>
        </w:trPr>
        <w:tc>
          <w:tcPr>
            <w:tcW w:w="8512" w:type="dxa"/>
            <w:gridSpan w:val="6"/>
            <w:tcBorders>
              <w:top w:val="single" w:color="auto" w:sz="4" w:space="0"/>
              <w:left w:val="single" w:color="auto" w:sz="4" w:space="0"/>
              <w:bottom w:val="single" w:color="auto" w:sz="4" w:space="0"/>
              <w:right w:val="single" w:color="auto" w:sz="4" w:space="0"/>
            </w:tcBorders>
            <w:noWrap/>
            <w:vAlign w:val="center"/>
          </w:tcPr>
          <w:p w14:paraId="7DC918F0">
            <w:pPr>
              <w:keepNext w:val="0"/>
              <w:keepLines w:val="0"/>
              <w:widowControl/>
              <w:suppressLineNumbers w:val="0"/>
              <w:spacing w:before="0" w:beforeAutospacing="0" w:after="0" w:afterAutospacing="0" w:line="360" w:lineRule="auto"/>
              <w:ind w:left="0" w:right="0"/>
              <w:jc w:val="center"/>
              <w:rPr>
                <w:rFonts w:hint="eastAsia" w:ascii="宋体" w:hAnsi="宋体" w:cs="宋体"/>
                <w:kern w:val="0"/>
                <w:sz w:val="24"/>
                <w:lang w:val="en-US" w:eastAsia="zh-CN"/>
              </w:rPr>
            </w:pPr>
            <w:r>
              <w:rPr>
                <w:rFonts w:hint="eastAsia" w:ascii="宋体" w:hAnsi="宋体" w:cs="宋体"/>
                <w:kern w:val="0"/>
                <w:sz w:val="24"/>
                <w:lang w:val="en-US" w:eastAsia="zh-CN"/>
              </w:rPr>
              <w:t>预 算 总 计</w:t>
            </w:r>
          </w:p>
        </w:tc>
        <w:tc>
          <w:tcPr>
            <w:tcW w:w="1350" w:type="dxa"/>
            <w:tcBorders>
              <w:top w:val="single" w:color="auto" w:sz="4" w:space="0"/>
              <w:left w:val="nil"/>
              <w:bottom w:val="single" w:color="auto" w:sz="4" w:space="0"/>
              <w:right w:val="single" w:color="auto" w:sz="4" w:space="0"/>
            </w:tcBorders>
            <w:noWrap/>
            <w:vAlign w:val="center"/>
          </w:tcPr>
          <w:p w14:paraId="18A06973">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48500</w:t>
            </w:r>
          </w:p>
        </w:tc>
      </w:tr>
    </w:tbl>
    <w:p w14:paraId="7AEFA13B">
      <w:pPr>
        <w:numPr>
          <w:ilvl w:val="0"/>
          <w:numId w:val="2"/>
        </w:numPr>
        <w:spacing w:line="360" w:lineRule="auto"/>
        <w:ind w:firstLine="640" w:firstLineChars="200"/>
        <w:rPr>
          <w:rFonts w:hint="eastAsia" w:ascii="宋体" w:hAnsi="宋体" w:cs="宋体"/>
          <w:sz w:val="32"/>
          <w:szCs w:val="32"/>
        </w:rPr>
      </w:pPr>
      <w:r>
        <w:rPr>
          <w:rFonts w:hint="eastAsia" w:ascii="宋体" w:hAnsi="宋体" w:cs="宋体"/>
          <w:sz w:val="32"/>
          <w:szCs w:val="32"/>
        </w:rPr>
        <w:t>供应商参加本次采购活动应具备下列条件</w:t>
      </w:r>
    </w:p>
    <w:p w14:paraId="754474BD">
      <w:pPr>
        <w:numPr>
          <w:ilvl w:val="0"/>
          <w:numId w:val="0"/>
        </w:numPr>
        <w:spacing w:line="360" w:lineRule="auto"/>
        <w:ind w:firstLine="640" w:firstLineChars="200"/>
        <w:rPr>
          <w:rFonts w:hint="eastAsia" w:ascii="宋体" w:hAnsi="宋体" w:cs="宋体"/>
          <w:sz w:val="32"/>
          <w:szCs w:val="32"/>
        </w:rPr>
      </w:pPr>
      <w:r>
        <w:rPr>
          <w:rFonts w:hint="eastAsia" w:ascii="宋体" w:hAnsi="宋体" w:cs="宋体"/>
          <w:sz w:val="32"/>
          <w:szCs w:val="32"/>
        </w:rPr>
        <w:t>（一）一般要求：</w:t>
      </w:r>
      <w:r>
        <w:rPr>
          <w:rFonts w:hint="eastAsia" w:ascii="宋体" w:hAnsi="宋体" w:cs="宋体"/>
          <w:sz w:val="32"/>
          <w:szCs w:val="32"/>
          <w:u w:val="single"/>
        </w:rPr>
        <w:t xml:space="preserve">具有由工商部门颁发的企业法人营业执照 </w:t>
      </w:r>
    </w:p>
    <w:p w14:paraId="1C7B3848">
      <w:pPr>
        <w:spacing w:line="360" w:lineRule="auto"/>
        <w:ind w:left="3198" w:leftChars="304" w:hanging="2560" w:hangingChars="800"/>
        <w:rPr>
          <w:rFonts w:hint="eastAsia" w:ascii="宋体" w:hAnsi="宋体" w:cs="宋体"/>
          <w:sz w:val="32"/>
          <w:szCs w:val="32"/>
          <w:u w:val="single"/>
        </w:rPr>
      </w:pPr>
      <w:r>
        <w:rPr>
          <w:rFonts w:hint="eastAsia" w:ascii="宋体" w:hAnsi="宋体" w:cs="宋体"/>
          <w:sz w:val="32"/>
          <w:szCs w:val="32"/>
        </w:rPr>
        <w:t>（二）资质要求：</w:t>
      </w:r>
      <w:r>
        <w:rPr>
          <w:rFonts w:hint="eastAsia" w:ascii="宋体" w:hAnsi="宋体" w:cs="宋体"/>
          <w:sz w:val="32"/>
          <w:szCs w:val="32"/>
          <w:u w:val="single"/>
        </w:rPr>
        <w:t>生产或经营本次采购货物并具备法人资格的供应商。</w:t>
      </w:r>
    </w:p>
    <w:p w14:paraId="6BA60BB9">
      <w:pPr>
        <w:spacing w:line="360" w:lineRule="auto"/>
        <w:ind w:firstLine="640" w:firstLineChars="200"/>
        <w:rPr>
          <w:rFonts w:hint="eastAsia" w:ascii="宋体" w:hAnsi="宋体" w:cs="宋体"/>
          <w:sz w:val="32"/>
          <w:szCs w:val="32"/>
        </w:rPr>
      </w:pPr>
      <w:r>
        <w:rPr>
          <w:rFonts w:hint="eastAsia" w:ascii="宋体" w:hAnsi="宋体" w:cs="宋体"/>
          <w:sz w:val="32"/>
          <w:szCs w:val="32"/>
        </w:rPr>
        <w:t>（三）其他要求：</w:t>
      </w:r>
      <w:r>
        <w:rPr>
          <w:rFonts w:hint="eastAsia" w:ascii="宋体" w:hAnsi="宋体" w:cs="宋体"/>
          <w:sz w:val="32"/>
          <w:szCs w:val="32"/>
          <w:u w:val="single"/>
        </w:rPr>
        <w:t>广西政府采购云平台电子卖场供应商。</w:t>
      </w:r>
      <w:r>
        <w:rPr>
          <w:rFonts w:hint="eastAsia" w:ascii="宋体" w:hAnsi="宋体" w:cs="宋体"/>
          <w:sz w:val="32"/>
          <w:szCs w:val="32"/>
        </w:rPr>
        <w:t xml:space="preserve">                                      </w:t>
      </w:r>
    </w:p>
    <w:p w14:paraId="6ED8EC52">
      <w:pPr>
        <w:spacing w:line="360" w:lineRule="auto"/>
        <w:ind w:firstLine="640" w:firstLineChars="200"/>
        <w:rPr>
          <w:rFonts w:hint="eastAsia" w:ascii="宋体" w:hAnsi="宋体" w:cs="宋体"/>
          <w:sz w:val="32"/>
          <w:szCs w:val="32"/>
        </w:rPr>
      </w:pPr>
      <w:r>
        <w:rPr>
          <w:rFonts w:hint="eastAsia" w:ascii="宋体" w:hAnsi="宋体" w:cs="宋体"/>
          <w:sz w:val="32"/>
          <w:szCs w:val="32"/>
        </w:rPr>
        <w:t>三、询价文件要求</w:t>
      </w:r>
    </w:p>
    <w:p w14:paraId="197FB063">
      <w:pPr>
        <w:spacing w:line="360" w:lineRule="auto"/>
        <w:ind w:firstLine="640" w:firstLineChars="200"/>
        <w:rPr>
          <w:rFonts w:hint="eastAsia" w:ascii="宋体" w:hAnsi="宋体" w:cs="宋体"/>
          <w:sz w:val="32"/>
          <w:szCs w:val="32"/>
        </w:rPr>
      </w:pPr>
      <w:r>
        <w:rPr>
          <w:rFonts w:hint="eastAsia" w:ascii="宋体" w:hAnsi="宋体" w:cs="宋体"/>
          <w:sz w:val="32"/>
          <w:szCs w:val="32"/>
        </w:rPr>
        <w:t xml:space="preserve">（一）资格证明文件内容（递交响应文件时提供各一份）： </w:t>
      </w:r>
    </w:p>
    <w:p w14:paraId="001A359E">
      <w:pPr>
        <w:spacing w:line="360" w:lineRule="auto"/>
        <w:ind w:firstLine="640" w:firstLineChars="200"/>
        <w:rPr>
          <w:rFonts w:hint="eastAsia" w:ascii="宋体" w:hAnsi="宋体" w:cs="宋体"/>
          <w:sz w:val="32"/>
          <w:szCs w:val="32"/>
        </w:rPr>
      </w:pPr>
      <w:r>
        <w:rPr>
          <w:rFonts w:hint="eastAsia" w:ascii="宋体" w:hAnsi="宋体" w:cs="宋体"/>
          <w:sz w:val="32"/>
          <w:szCs w:val="32"/>
        </w:rPr>
        <w:t>1.法定代表人授权委托书（格式详见第四章，加盖公章）；</w:t>
      </w:r>
    </w:p>
    <w:p w14:paraId="4899551B">
      <w:pPr>
        <w:spacing w:line="360" w:lineRule="auto"/>
        <w:ind w:firstLine="640" w:firstLineChars="200"/>
        <w:rPr>
          <w:rFonts w:hint="eastAsia" w:ascii="宋体" w:hAnsi="宋体" w:cs="宋体"/>
          <w:sz w:val="32"/>
          <w:szCs w:val="32"/>
        </w:rPr>
      </w:pPr>
      <w:r>
        <w:rPr>
          <w:rFonts w:hint="eastAsia" w:ascii="宋体" w:hAnsi="宋体" w:cs="宋体"/>
          <w:sz w:val="32"/>
          <w:szCs w:val="32"/>
        </w:rPr>
        <w:t>2.被授权人身份证（复印件加盖公章，须提交原件备查）；</w:t>
      </w:r>
    </w:p>
    <w:p w14:paraId="24509467">
      <w:pPr>
        <w:spacing w:line="360" w:lineRule="auto"/>
        <w:ind w:firstLine="640" w:firstLineChars="200"/>
        <w:rPr>
          <w:rFonts w:hint="eastAsia" w:ascii="宋体" w:hAnsi="宋体" w:cs="宋体"/>
          <w:sz w:val="32"/>
          <w:szCs w:val="32"/>
        </w:rPr>
      </w:pPr>
      <w:r>
        <w:rPr>
          <w:rFonts w:hint="eastAsia" w:ascii="宋体" w:hAnsi="宋体" w:cs="宋体"/>
          <w:sz w:val="32"/>
          <w:szCs w:val="32"/>
        </w:rPr>
        <w:t>3.营业执照（复印件加盖公章）。</w:t>
      </w:r>
    </w:p>
    <w:p w14:paraId="4C8F45AF">
      <w:pPr>
        <w:spacing w:line="360" w:lineRule="auto"/>
        <w:ind w:firstLine="640" w:firstLineChars="200"/>
        <w:rPr>
          <w:rFonts w:hint="eastAsia" w:ascii="宋体" w:hAnsi="宋体" w:cs="宋体"/>
          <w:sz w:val="32"/>
          <w:szCs w:val="32"/>
        </w:rPr>
      </w:pPr>
      <w:r>
        <w:rPr>
          <w:rFonts w:hint="eastAsia" w:ascii="宋体" w:hAnsi="宋体" w:cs="宋体"/>
          <w:sz w:val="32"/>
          <w:szCs w:val="32"/>
        </w:rPr>
        <w:t>（二）报价文件内容：</w:t>
      </w:r>
    </w:p>
    <w:p w14:paraId="26142B53">
      <w:pPr>
        <w:spacing w:line="360" w:lineRule="auto"/>
        <w:ind w:firstLine="640" w:firstLineChars="200"/>
        <w:rPr>
          <w:rFonts w:hint="eastAsia" w:ascii="宋体" w:hAnsi="宋体" w:cs="宋体"/>
          <w:sz w:val="32"/>
          <w:szCs w:val="32"/>
        </w:rPr>
      </w:pPr>
      <w:r>
        <w:rPr>
          <w:rFonts w:hint="eastAsia" w:ascii="宋体" w:hAnsi="宋体" w:cs="宋体"/>
          <w:sz w:val="32"/>
          <w:szCs w:val="32"/>
        </w:rPr>
        <w:t>1.资格证明文件（加盖公章）；</w:t>
      </w:r>
    </w:p>
    <w:p w14:paraId="3CA9A01D">
      <w:pPr>
        <w:spacing w:line="360" w:lineRule="auto"/>
        <w:ind w:firstLine="640" w:firstLineChars="200"/>
        <w:rPr>
          <w:rFonts w:hint="eastAsia" w:ascii="宋体" w:hAnsi="宋体" w:cs="宋体"/>
          <w:sz w:val="32"/>
          <w:szCs w:val="32"/>
        </w:rPr>
      </w:pPr>
      <w:r>
        <w:rPr>
          <w:rFonts w:hint="eastAsia" w:ascii="宋体" w:hAnsi="宋体" w:cs="宋体"/>
          <w:sz w:val="32"/>
          <w:szCs w:val="32"/>
        </w:rPr>
        <w:t>2.报价表（格式详见第四章，加盖公章）。</w:t>
      </w:r>
    </w:p>
    <w:p w14:paraId="4E1013AB">
      <w:pPr>
        <w:spacing w:line="360" w:lineRule="auto"/>
        <w:ind w:firstLine="640" w:firstLineChars="200"/>
        <w:rPr>
          <w:rFonts w:hint="eastAsia" w:ascii="宋体" w:hAnsi="宋体" w:cs="宋体"/>
          <w:sz w:val="32"/>
          <w:szCs w:val="32"/>
        </w:rPr>
      </w:pPr>
      <w:r>
        <w:rPr>
          <w:rFonts w:hint="eastAsia" w:ascii="宋体" w:hAnsi="宋体" w:cs="宋体"/>
          <w:sz w:val="32"/>
          <w:szCs w:val="32"/>
        </w:rPr>
        <w:t>（三）报价文件装订及密封要求：</w:t>
      </w:r>
    </w:p>
    <w:p w14:paraId="72A91276">
      <w:pPr>
        <w:spacing w:line="360" w:lineRule="auto"/>
        <w:ind w:firstLine="640" w:firstLineChars="200"/>
        <w:rPr>
          <w:rFonts w:hint="eastAsia" w:ascii="宋体" w:hAnsi="宋体" w:cs="宋体"/>
          <w:sz w:val="32"/>
          <w:szCs w:val="32"/>
        </w:rPr>
      </w:pPr>
      <w:r>
        <w:rPr>
          <w:rFonts w:hint="eastAsia" w:ascii="宋体" w:hAnsi="宋体" w:cs="宋体"/>
          <w:sz w:val="32"/>
          <w:szCs w:val="32"/>
        </w:rPr>
        <w:t>报价文件用A4纸打印，一式二份，密封后须在封口处加盖公章，并在封面上</w:t>
      </w:r>
      <w:r>
        <w:rPr>
          <w:rFonts w:hint="eastAsia" w:ascii="宋体" w:hAnsi="宋体" w:cs="宋体"/>
          <w:b/>
          <w:bCs/>
          <w:sz w:val="32"/>
          <w:szCs w:val="32"/>
        </w:rPr>
        <w:t>注明投标项目</w:t>
      </w:r>
      <w:r>
        <w:rPr>
          <w:rFonts w:hint="eastAsia" w:ascii="宋体" w:hAnsi="宋体" w:cs="宋体"/>
          <w:sz w:val="32"/>
          <w:szCs w:val="32"/>
        </w:rPr>
        <w:t>。</w:t>
      </w:r>
    </w:p>
    <w:p w14:paraId="4CF09B38">
      <w:pPr>
        <w:spacing w:line="360" w:lineRule="auto"/>
        <w:ind w:firstLine="640" w:firstLineChars="200"/>
        <w:rPr>
          <w:rFonts w:hint="eastAsia" w:ascii="宋体" w:hAnsi="宋体" w:cs="宋体"/>
          <w:sz w:val="32"/>
          <w:szCs w:val="32"/>
        </w:rPr>
      </w:pPr>
      <w:r>
        <w:rPr>
          <w:rFonts w:hint="eastAsia" w:ascii="宋体" w:hAnsi="宋体" w:cs="宋体"/>
          <w:sz w:val="32"/>
          <w:szCs w:val="32"/>
        </w:rPr>
        <w:t>本项目不接受电子投标、快递（闪送）文件，逾期送达、未送达指定地点、或未密封的投标文件，不予受理。</w:t>
      </w:r>
    </w:p>
    <w:p w14:paraId="588DB39A">
      <w:pPr>
        <w:spacing w:line="360" w:lineRule="auto"/>
        <w:ind w:firstLine="640" w:firstLineChars="200"/>
        <w:rPr>
          <w:rFonts w:hint="eastAsia" w:ascii="宋体" w:hAnsi="宋体" w:cs="宋体"/>
          <w:sz w:val="32"/>
          <w:szCs w:val="32"/>
        </w:rPr>
      </w:pPr>
      <w:r>
        <w:rPr>
          <w:rFonts w:hint="eastAsia" w:ascii="宋体" w:hAnsi="宋体" w:cs="宋体"/>
          <w:sz w:val="32"/>
          <w:szCs w:val="32"/>
        </w:rPr>
        <w:t>四、递交询价响应文件的截止时间及地点</w:t>
      </w:r>
    </w:p>
    <w:p w14:paraId="3DC95CBA">
      <w:pPr>
        <w:spacing w:line="360" w:lineRule="auto"/>
        <w:ind w:firstLine="640" w:firstLineChars="200"/>
        <w:rPr>
          <w:rFonts w:hint="eastAsia" w:ascii="宋体" w:hAnsi="宋体" w:cs="宋体"/>
          <w:sz w:val="32"/>
          <w:szCs w:val="32"/>
        </w:rPr>
      </w:pPr>
      <w:r>
        <w:rPr>
          <w:rFonts w:hint="eastAsia" w:ascii="宋体" w:hAnsi="宋体" w:cs="宋体"/>
          <w:sz w:val="32"/>
          <w:szCs w:val="32"/>
        </w:rPr>
        <w:t>（一）询价文件递交的时间：</w:t>
      </w:r>
      <w:r>
        <w:rPr>
          <w:rFonts w:hint="eastAsia" w:ascii="宋体" w:hAnsi="宋体" w:cs="宋体"/>
          <w:sz w:val="32"/>
          <w:szCs w:val="32"/>
          <w:u w:val="single"/>
        </w:rPr>
        <w:t>202</w:t>
      </w:r>
      <w:r>
        <w:rPr>
          <w:rFonts w:hint="eastAsia" w:ascii="宋体" w:hAnsi="宋体" w:cs="宋体"/>
          <w:sz w:val="32"/>
          <w:szCs w:val="32"/>
          <w:u w:val="single"/>
          <w:lang w:val="en-US" w:eastAsia="zh-CN"/>
        </w:rPr>
        <w:t>5</w:t>
      </w:r>
      <w:r>
        <w:rPr>
          <w:rFonts w:hint="eastAsia" w:ascii="宋体" w:hAnsi="宋体" w:cs="宋体"/>
          <w:sz w:val="32"/>
          <w:szCs w:val="32"/>
          <w:u w:val="single"/>
        </w:rPr>
        <w:t>年</w:t>
      </w:r>
      <w:r>
        <w:rPr>
          <w:rFonts w:hint="eastAsia" w:ascii="宋体" w:hAnsi="宋体" w:cs="宋体"/>
          <w:sz w:val="32"/>
          <w:szCs w:val="32"/>
          <w:u w:val="single"/>
          <w:lang w:val="en-US" w:eastAsia="zh-CN"/>
        </w:rPr>
        <w:t>11</w:t>
      </w:r>
      <w:r>
        <w:rPr>
          <w:rFonts w:hint="eastAsia" w:ascii="宋体" w:hAnsi="宋体" w:cs="宋体"/>
          <w:sz w:val="32"/>
          <w:szCs w:val="32"/>
          <w:u w:val="single"/>
        </w:rPr>
        <w:t>月</w:t>
      </w:r>
      <w:r>
        <w:rPr>
          <w:rFonts w:hint="eastAsia" w:ascii="宋体" w:hAnsi="宋体" w:cs="宋体"/>
          <w:sz w:val="32"/>
          <w:szCs w:val="32"/>
          <w:u w:val="single"/>
          <w:lang w:val="en-US" w:eastAsia="zh-CN"/>
        </w:rPr>
        <w:t>7</w:t>
      </w:r>
      <w:r>
        <w:rPr>
          <w:rFonts w:hint="eastAsia" w:ascii="宋体" w:hAnsi="宋体" w:cs="宋体"/>
          <w:sz w:val="32"/>
          <w:szCs w:val="32"/>
          <w:u w:val="single"/>
        </w:rPr>
        <w:t>日</w:t>
      </w:r>
      <w:r>
        <w:rPr>
          <w:rFonts w:hint="eastAsia" w:ascii="宋体" w:hAnsi="宋体" w:cs="宋体"/>
          <w:sz w:val="32"/>
          <w:szCs w:val="32"/>
          <w:u w:val="single"/>
          <w:lang w:val="en-US" w:eastAsia="zh-CN"/>
        </w:rPr>
        <w:t>0</w:t>
      </w:r>
      <w:r>
        <w:rPr>
          <w:rFonts w:hint="eastAsia" w:ascii="宋体" w:hAnsi="宋体" w:cs="宋体"/>
          <w:sz w:val="32"/>
          <w:szCs w:val="32"/>
          <w:u w:val="single"/>
        </w:rPr>
        <w:t>0:00前</w:t>
      </w:r>
      <w:r>
        <w:rPr>
          <w:rFonts w:hint="eastAsia" w:ascii="宋体" w:hAnsi="宋体" w:cs="宋体"/>
          <w:sz w:val="32"/>
          <w:szCs w:val="32"/>
        </w:rPr>
        <w:t>，递交地点：</w:t>
      </w:r>
      <w:r>
        <w:rPr>
          <w:rFonts w:hint="eastAsia" w:ascii="宋体" w:hAnsi="宋体" w:cs="宋体"/>
          <w:sz w:val="32"/>
          <w:szCs w:val="32"/>
          <w:u w:val="single"/>
        </w:rPr>
        <w:t xml:space="preserve"> 南宁市兴宁区邕武路9号， 广西交通技师学院综合楼1520室</w:t>
      </w:r>
      <w:r>
        <w:rPr>
          <w:rFonts w:hint="eastAsia" w:ascii="宋体" w:hAnsi="宋体" w:cs="宋体"/>
          <w:sz w:val="32"/>
          <w:szCs w:val="32"/>
        </w:rPr>
        <w:t>。</w:t>
      </w:r>
    </w:p>
    <w:p w14:paraId="2466369C">
      <w:pPr>
        <w:pStyle w:val="5"/>
        <w:spacing w:line="360" w:lineRule="auto"/>
        <w:ind w:firstLine="640" w:firstLineChars="200"/>
      </w:pPr>
      <w:r>
        <w:rPr>
          <w:rFonts w:hint="eastAsia" w:ascii="宋体" w:hAnsi="宋体" w:cs="宋体"/>
          <w:sz w:val="32"/>
          <w:szCs w:val="32"/>
        </w:rPr>
        <w:t>（二）询价文件递交的截止时间：</w:t>
      </w:r>
      <w:r>
        <w:rPr>
          <w:rFonts w:hint="eastAsia" w:ascii="宋体" w:hAnsi="宋体" w:cs="宋体"/>
          <w:sz w:val="32"/>
          <w:szCs w:val="32"/>
          <w:u w:val="single"/>
        </w:rPr>
        <w:t>202</w:t>
      </w:r>
      <w:r>
        <w:rPr>
          <w:rFonts w:hint="eastAsia" w:ascii="宋体" w:hAnsi="宋体" w:cs="宋体"/>
          <w:sz w:val="32"/>
          <w:szCs w:val="32"/>
          <w:u w:val="single"/>
          <w:lang w:val="en-US" w:eastAsia="zh-CN"/>
        </w:rPr>
        <w:t>5</w:t>
      </w:r>
      <w:r>
        <w:rPr>
          <w:rFonts w:hint="eastAsia" w:ascii="宋体" w:hAnsi="宋体" w:cs="宋体"/>
          <w:sz w:val="32"/>
          <w:szCs w:val="32"/>
          <w:u w:val="single"/>
        </w:rPr>
        <w:t>年</w:t>
      </w:r>
      <w:r>
        <w:rPr>
          <w:rFonts w:hint="eastAsia" w:ascii="宋体" w:hAnsi="宋体" w:cs="宋体"/>
          <w:sz w:val="32"/>
          <w:szCs w:val="32"/>
          <w:u w:val="single"/>
          <w:lang w:val="en-US" w:eastAsia="zh-CN"/>
        </w:rPr>
        <w:t>11</w:t>
      </w:r>
      <w:r>
        <w:rPr>
          <w:rFonts w:hint="eastAsia" w:ascii="宋体" w:hAnsi="宋体" w:cs="宋体"/>
          <w:sz w:val="32"/>
          <w:szCs w:val="32"/>
          <w:u w:val="single"/>
        </w:rPr>
        <w:t>月</w:t>
      </w:r>
      <w:r>
        <w:rPr>
          <w:rFonts w:hint="eastAsia" w:ascii="宋体" w:hAnsi="宋体" w:cs="宋体"/>
          <w:sz w:val="32"/>
          <w:szCs w:val="32"/>
          <w:u w:val="single"/>
          <w:lang w:val="en-US" w:eastAsia="zh-CN"/>
        </w:rPr>
        <w:t>7</w:t>
      </w:r>
      <w:r>
        <w:rPr>
          <w:rFonts w:hint="eastAsia" w:ascii="宋体" w:hAnsi="宋体" w:cs="宋体"/>
          <w:sz w:val="32"/>
          <w:szCs w:val="32"/>
          <w:u w:val="single"/>
        </w:rPr>
        <w:t>日</w:t>
      </w:r>
      <w:r>
        <w:rPr>
          <w:rFonts w:hint="eastAsia" w:ascii="宋体" w:hAnsi="宋体" w:cs="宋体"/>
          <w:sz w:val="32"/>
          <w:szCs w:val="32"/>
          <w:u w:val="single"/>
          <w:lang w:val="en-US" w:eastAsia="zh-CN"/>
        </w:rPr>
        <w:t>0</w:t>
      </w:r>
      <w:r>
        <w:rPr>
          <w:rFonts w:hint="eastAsia" w:ascii="宋体" w:hAnsi="宋体" w:cs="宋体"/>
          <w:sz w:val="32"/>
          <w:szCs w:val="32"/>
          <w:u w:val="single"/>
        </w:rPr>
        <w:t>0:00</w:t>
      </w:r>
      <w:r>
        <w:rPr>
          <w:rFonts w:hint="eastAsia" w:ascii="宋体" w:hAnsi="宋体" w:cs="宋体"/>
          <w:sz w:val="32"/>
          <w:szCs w:val="32"/>
        </w:rPr>
        <w:t>。</w:t>
      </w:r>
    </w:p>
    <w:p w14:paraId="4C95E48B">
      <w:pPr>
        <w:spacing w:line="360" w:lineRule="auto"/>
        <w:ind w:firstLine="640" w:firstLineChars="200"/>
        <w:rPr>
          <w:rFonts w:hint="eastAsia" w:ascii="宋体" w:hAnsi="宋体" w:cs="宋体"/>
          <w:sz w:val="32"/>
          <w:szCs w:val="32"/>
        </w:rPr>
      </w:pPr>
      <w:r>
        <w:rPr>
          <w:rFonts w:hint="eastAsia" w:ascii="宋体" w:hAnsi="宋体" w:cs="宋体"/>
          <w:sz w:val="32"/>
          <w:szCs w:val="32"/>
        </w:rPr>
        <w:t>五、开标时间及地点</w:t>
      </w:r>
    </w:p>
    <w:p w14:paraId="55193FE7">
      <w:pPr>
        <w:spacing w:line="360" w:lineRule="auto"/>
        <w:ind w:firstLine="640" w:firstLineChars="200"/>
        <w:rPr>
          <w:rFonts w:hint="eastAsia" w:ascii="宋体" w:hAnsi="宋体" w:cs="宋体"/>
          <w:sz w:val="32"/>
          <w:szCs w:val="32"/>
        </w:rPr>
      </w:pPr>
      <w:r>
        <w:rPr>
          <w:rFonts w:hint="eastAsia" w:ascii="宋体" w:hAnsi="宋体" w:cs="宋体"/>
          <w:sz w:val="32"/>
          <w:szCs w:val="32"/>
          <w:u w:val="single"/>
        </w:rPr>
        <w:t>202</w:t>
      </w:r>
      <w:r>
        <w:rPr>
          <w:rFonts w:hint="eastAsia" w:ascii="宋体" w:hAnsi="宋体" w:cs="宋体"/>
          <w:sz w:val="32"/>
          <w:szCs w:val="32"/>
          <w:u w:val="single"/>
          <w:lang w:val="en-US" w:eastAsia="zh-CN"/>
        </w:rPr>
        <w:t>5</w:t>
      </w:r>
      <w:r>
        <w:rPr>
          <w:rFonts w:hint="eastAsia" w:ascii="宋体" w:hAnsi="宋体" w:cs="宋体"/>
          <w:sz w:val="32"/>
          <w:szCs w:val="32"/>
          <w:u w:val="single"/>
        </w:rPr>
        <w:t>年</w:t>
      </w:r>
      <w:r>
        <w:rPr>
          <w:rFonts w:hint="eastAsia" w:ascii="宋体" w:hAnsi="宋体" w:cs="宋体"/>
          <w:sz w:val="32"/>
          <w:szCs w:val="32"/>
          <w:u w:val="single"/>
          <w:lang w:val="en-US" w:eastAsia="zh-CN"/>
        </w:rPr>
        <w:t>11</w:t>
      </w:r>
      <w:r>
        <w:rPr>
          <w:rFonts w:hint="eastAsia" w:ascii="宋体" w:hAnsi="宋体" w:cs="宋体"/>
          <w:sz w:val="32"/>
          <w:szCs w:val="32"/>
          <w:u w:val="single"/>
        </w:rPr>
        <w:t>月</w:t>
      </w:r>
      <w:r>
        <w:rPr>
          <w:rFonts w:hint="eastAsia" w:ascii="宋体" w:hAnsi="宋体" w:cs="宋体"/>
          <w:sz w:val="32"/>
          <w:szCs w:val="32"/>
          <w:u w:val="single"/>
          <w:lang w:val="en-US" w:eastAsia="zh-CN"/>
        </w:rPr>
        <w:t>7</w:t>
      </w:r>
      <w:r>
        <w:rPr>
          <w:rFonts w:hint="eastAsia" w:ascii="宋体" w:hAnsi="宋体" w:cs="宋体"/>
          <w:sz w:val="32"/>
          <w:szCs w:val="32"/>
          <w:u w:val="single"/>
        </w:rPr>
        <w:t>日</w:t>
      </w:r>
      <w:r>
        <w:rPr>
          <w:rFonts w:hint="eastAsia" w:ascii="宋体" w:hAnsi="宋体" w:cs="宋体"/>
          <w:sz w:val="32"/>
          <w:szCs w:val="32"/>
          <w:u w:val="single"/>
          <w:lang w:val="en-US" w:eastAsia="zh-CN"/>
        </w:rPr>
        <w:t>0</w:t>
      </w:r>
      <w:r>
        <w:rPr>
          <w:rFonts w:hint="eastAsia" w:ascii="宋体" w:hAnsi="宋体" w:cs="宋体"/>
          <w:sz w:val="32"/>
          <w:szCs w:val="32"/>
          <w:u w:val="single"/>
        </w:rPr>
        <w:t>0:00</w:t>
      </w:r>
      <w:r>
        <w:rPr>
          <w:rFonts w:hint="eastAsia" w:ascii="宋体" w:hAnsi="宋体" w:cs="宋体"/>
          <w:sz w:val="32"/>
          <w:szCs w:val="32"/>
        </w:rPr>
        <w:t>，在</w:t>
      </w:r>
      <w:r>
        <w:rPr>
          <w:rFonts w:hint="eastAsia" w:ascii="宋体" w:hAnsi="宋体" w:cs="宋体"/>
          <w:sz w:val="32"/>
          <w:szCs w:val="32"/>
          <w:u w:val="single"/>
        </w:rPr>
        <w:t xml:space="preserve">  广西交通技师学院邕武校区综合楼  1520室 </w:t>
      </w:r>
      <w:r>
        <w:rPr>
          <w:rFonts w:hint="eastAsia" w:ascii="宋体" w:hAnsi="宋体" w:cs="宋体"/>
          <w:sz w:val="32"/>
          <w:szCs w:val="32"/>
        </w:rPr>
        <w:t>评标，如有变动，另行通知。</w:t>
      </w:r>
    </w:p>
    <w:p w14:paraId="0DBC1C15">
      <w:pPr>
        <w:spacing w:line="360" w:lineRule="auto"/>
        <w:ind w:firstLine="640" w:firstLineChars="200"/>
        <w:rPr>
          <w:rFonts w:hint="eastAsia" w:ascii="宋体" w:hAnsi="宋体" w:cs="宋体"/>
          <w:sz w:val="32"/>
          <w:szCs w:val="32"/>
        </w:rPr>
      </w:pPr>
      <w:r>
        <w:rPr>
          <w:rFonts w:hint="eastAsia" w:ascii="宋体" w:hAnsi="宋体" w:cs="宋体"/>
          <w:sz w:val="32"/>
          <w:szCs w:val="32"/>
        </w:rPr>
        <w:t>六、评标方式和评标结果</w:t>
      </w:r>
    </w:p>
    <w:p w14:paraId="3D27F054">
      <w:pPr>
        <w:spacing w:line="360" w:lineRule="auto"/>
        <w:ind w:firstLine="640" w:firstLineChars="200"/>
        <w:rPr>
          <w:rFonts w:hint="eastAsia" w:ascii="宋体" w:hAnsi="宋体" w:cs="宋体"/>
          <w:sz w:val="32"/>
          <w:szCs w:val="32"/>
        </w:rPr>
      </w:pPr>
      <w:r>
        <w:rPr>
          <w:rFonts w:hint="eastAsia" w:ascii="宋体" w:hAnsi="宋体" w:cs="宋体"/>
          <w:sz w:val="32"/>
          <w:szCs w:val="32"/>
        </w:rPr>
        <w:t>（一）采购人选取学院评审库中的评审专家和需求部门代表组成评标小组，对响应人的资格和符合性进行审查，按照经评审的最低投标价法确定中标候选单位。</w:t>
      </w:r>
    </w:p>
    <w:p w14:paraId="38BBF9D7">
      <w:pPr>
        <w:spacing w:line="360" w:lineRule="auto"/>
        <w:ind w:firstLine="640" w:firstLineChars="200"/>
        <w:rPr>
          <w:rFonts w:hint="eastAsia" w:ascii="宋体" w:hAnsi="宋体" w:cs="宋体"/>
          <w:sz w:val="32"/>
          <w:szCs w:val="32"/>
        </w:rPr>
      </w:pPr>
      <w:r>
        <w:rPr>
          <w:rFonts w:hint="eastAsia" w:ascii="宋体" w:hAnsi="宋体" w:cs="宋体"/>
          <w:sz w:val="32"/>
          <w:szCs w:val="32"/>
        </w:rPr>
        <w:t>经评审的最低投标价法是指评标小组对满足采购文件实质要求的报价文件，按照经评审的报价由低到高的顺序推荐中标候选人，但投标报价低于其成本的除外。经评审的报价相等时，投标报价低的优先；投标报价也相等的，由评标小组自行确定。</w:t>
      </w:r>
    </w:p>
    <w:p w14:paraId="59BDC221">
      <w:pPr>
        <w:spacing w:line="360" w:lineRule="auto"/>
        <w:ind w:firstLine="640" w:firstLineChars="200"/>
        <w:rPr>
          <w:rFonts w:hint="eastAsia" w:ascii="宋体" w:hAnsi="宋体" w:cs="宋体"/>
          <w:sz w:val="32"/>
          <w:szCs w:val="32"/>
        </w:rPr>
      </w:pPr>
      <w:r>
        <w:rPr>
          <w:rFonts w:hint="eastAsia" w:ascii="宋体" w:hAnsi="宋体" w:cs="宋体"/>
          <w:sz w:val="32"/>
          <w:szCs w:val="32"/>
        </w:rPr>
        <w:t>1.在报价（单价合理）、资格、服务、商务及技术性审查均满足的情况下，排名第一名的响应人为第一成交候选人，排名第二名的响应人为第二成交候选人。排名第一的成交候选人放弃成交、或因不可抗力提出不能履行合同的，采购人可以确定排名第二的成交候选人为成交人，以此类推。</w:t>
      </w:r>
    </w:p>
    <w:p w14:paraId="62973D14">
      <w:pPr>
        <w:spacing w:line="360" w:lineRule="auto"/>
        <w:ind w:firstLine="640" w:firstLineChars="200"/>
        <w:rPr>
          <w:rFonts w:hint="eastAsia" w:ascii="宋体" w:hAnsi="宋体" w:cs="宋体"/>
          <w:sz w:val="32"/>
          <w:szCs w:val="32"/>
        </w:rPr>
      </w:pPr>
      <w:r>
        <w:rPr>
          <w:rFonts w:hint="eastAsia" w:ascii="宋体" w:hAnsi="宋体" w:cs="宋体"/>
          <w:sz w:val="32"/>
          <w:szCs w:val="32"/>
        </w:rPr>
        <w:t>（1）总报价超过采购预算金额的视为无效。</w:t>
      </w:r>
    </w:p>
    <w:p w14:paraId="313A2558">
      <w:pPr>
        <w:spacing w:line="360" w:lineRule="auto"/>
        <w:ind w:firstLine="640" w:firstLineChars="200"/>
        <w:rPr>
          <w:rFonts w:hint="eastAsia" w:ascii="宋体" w:hAnsi="宋体" w:cs="宋体"/>
          <w:sz w:val="32"/>
          <w:szCs w:val="32"/>
        </w:rPr>
      </w:pPr>
      <w:r>
        <w:rPr>
          <w:rFonts w:hint="eastAsia" w:ascii="宋体" w:hAnsi="宋体" w:cs="宋体"/>
          <w:sz w:val="32"/>
          <w:szCs w:val="32"/>
        </w:rPr>
        <w:t>（2）涉及到《自治区本级行政事业单位日常办公设施配置标准》（桂财资〔2014〕10号）中的设施设备时，单价超价格上限标准的，视为无效。</w:t>
      </w:r>
    </w:p>
    <w:p w14:paraId="0F62C08D">
      <w:pPr>
        <w:spacing w:line="360" w:lineRule="auto"/>
        <w:ind w:firstLine="640" w:firstLineChars="200"/>
        <w:rPr>
          <w:rFonts w:hint="eastAsia" w:ascii="宋体" w:hAnsi="宋体" w:cs="宋体"/>
          <w:sz w:val="32"/>
          <w:szCs w:val="32"/>
        </w:rPr>
      </w:pPr>
      <w:r>
        <w:rPr>
          <w:rFonts w:hint="eastAsia" w:ascii="宋体" w:hAnsi="宋体" w:cs="宋体"/>
          <w:sz w:val="32"/>
          <w:szCs w:val="32"/>
        </w:rPr>
        <w:t>（3）评标小组可以书面方式或打电话要求报价人对报价文件中含义不明确、对同类问题表述不一致或者有明显文字和计算错误的内容作必要的澄清、说明或补正。报价有算术错误的，评标小组按以下原则对报价进行修正，修正的价格经投标人确认后具有约束力。报价人不接受修正价格的，其报价作废标处理。</w:t>
      </w:r>
    </w:p>
    <w:p w14:paraId="7285665D">
      <w:pPr>
        <w:spacing w:line="360" w:lineRule="auto"/>
        <w:ind w:firstLine="640" w:firstLineChars="200"/>
        <w:rPr>
          <w:rFonts w:hint="eastAsia" w:ascii="宋体" w:hAnsi="宋体" w:cs="宋体"/>
          <w:sz w:val="32"/>
          <w:szCs w:val="32"/>
        </w:rPr>
      </w:pPr>
      <w:r>
        <w:rPr>
          <w:rFonts w:hint="eastAsia" w:ascii="宋体" w:hAnsi="宋体" w:cs="宋体"/>
          <w:sz w:val="32"/>
          <w:szCs w:val="32"/>
        </w:rPr>
        <w:t>①报价文件中的大写金额与小写金额不一致的，以大写金额为准；</w:t>
      </w:r>
    </w:p>
    <w:p w14:paraId="709B58D1">
      <w:pPr>
        <w:spacing w:line="360" w:lineRule="auto"/>
        <w:ind w:firstLine="640" w:firstLineChars="200"/>
        <w:rPr>
          <w:rFonts w:hint="eastAsia" w:ascii="宋体" w:hAnsi="宋体" w:cs="宋体"/>
          <w:sz w:val="32"/>
          <w:szCs w:val="32"/>
        </w:rPr>
      </w:pPr>
      <w:r>
        <w:rPr>
          <w:rFonts w:hint="eastAsia" w:ascii="宋体" w:hAnsi="宋体" w:cs="宋体"/>
          <w:sz w:val="32"/>
          <w:szCs w:val="32"/>
        </w:rPr>
        <w:t>②总价金额与依据单价计算出的结果不一致的，以单价金额为准修正总价，但单价金额小数点有明显错误的除外。</w:t>
      </w:r>
    </w:p>
    <w:p w14:paraId="066215BE">
      <w:pPr>
        <w:spacing w:line="360" w:lineRule="auto"/>
        <w:ind w:firstLine="640" w:firstLineChars="200"/>
        <w:rPr>
          <w:rFonts w:hint="eastAsia" w:ascii="宋体" w:hAnsi="宋体" w:cs="宋体"/>
          <w:sz w:val="32"/>
          <w:szCs w:val="32"/>
        </w:rPr>
      </w:pPr>
      <w:r>
        <w:rPr>
          <w:rFonts w:hint="eastAsia" w:ascii="宋体" w:hAnsi="宋体" w:cs="宋体"/>
          <w:sz w:val="32"/>
          <w:szCs w:val="32"/>
        </w:rPr>
        <w:t>（4）评标小组根据询价文件，审查报价文件是否存在下列重大偏差，若存在，其报价文件视为无效。</w:t>
      </w:r>
    </w:p>
    <w:p w14:paraId="126D6DF5">
      <w:pPr>
        <w:spacing w:line="360" w:lineRule="auto"/>
        <w:ind w:firstLine="640" w:firstLineChars="200"/>
        <w:rPr>
          <w:rFonts w:hint="eastAsia" w:ascii="宋体" w:hAnsi="宋体" w:cs="宋体"/>
          <w:sz w:val="32"/>
          <w:szCs w:val="32"/>
        </w:rPr>
      </w:pPr>
      <w:r>
        <w:rPr>
          <w:rFonts w:hint="eastAsia" w:ascii="宋体" w:hAnsi="宋体" w:cs="宋体"/>
          <w:sz w:val="32"/>
          <w:szCs w:val="32"/>
        </w:rPr>
        <w:t>①报价文件没有报价人授权代表签字和加盖公章；</w:t>
      </w:r>
    </w:p>
    <w:p w14:paraId="16270128">
      <w:pPr>
        <w:spacing w:line="360" w:lineRule="auto"/>
        <w:ind w:firstLine="640" w:firstLineChars="200"/>
        <w:rPr>
          <w:rFonts w:hint="eastAsia" w:ascii="宋体" w:hAnsi="宋体" w:cs="宋体"/>
          <w:sz w:val="32"/>
          <w:szCs w:val="32"/>
        </w:rPr>
      </w:pPr>
      <w:r>
        <w:rPr>
          <w:rFonts w:hint="eastAsia" w:ascii="宋体" w:hAnsi="宋体" w:cs="宋体"/>
          <w:sz w:val="32"/>
          <w:szCs w:val="32"/>
        </w:rPr>
        <w:t>②报价文件载明的项目完成期限超过采购文件规定的期限；</w:t>
      </w:r>
    </w:p>
    <w:p w14:paraId="1B26DBCC">
      <w:pPr>
        <w:spacing w:line="360" w:lineRule="auto"/>
        <w:ind w:firstLine="640" w:firstLineChars="200"/>
        <w:rPr>
          <w:rFonts w:hint="eastAsia" w:ascii="宋体" w:hAnsi="宋体" w:cs="宋体"/>
          <w:sz w:val="32"/>
          <w:szCs w:val="32"/>
        </w:rPr>
      </w:pPr>
      <w:r>
        <w:rPr>
          <w:rFonts w:hint="eastAsia" w:ascii="宋体" w:hAnsi="宋体" w:cs="宋体"/>
          <w:sz w:val="32"/>
          <w:szCs w:val="32"/>
        </w:rPr>
        <w:t>③明显不符合技术规格、技术标准的要求；</w:t>
      </w:r>
    </w:p>
    <w:p w14:paraId="451A03E1">
      <w:pPr>
        <w:spacing w:line="360" w:lineRule="auto"/>
        <w:ind w:firstLine="640" w:firstLineChars="200"/>
        <w:rPr>
          <w:rFonts w:hint="eastAsia" w:ascii="宋体" w:hAnsi="宋体" w:cs="宋体"/>
          <w:sz w:val="32"/>
          <w:szCs w:val="32"/>
        </w:rPr>
      </w:pPr>
      <w:r>
        <w:rPr>
          <w:rFonts w:hint="eastAsia" w:ascii="宋体" w:hAnsi="宋体" w:cs="宋体"/>
          <w:sz w:val="32"/>
          <w:szCs w:val="32"/>
        </w:rPr>
        <w:t>④报价文件载明的货物包装方式、检验标准和方法等不符合采购文件的要求；</w:t>
      </w:r>
    </w:p>
    <w:p w14:paraId="17EDB5FD">
      <w:pPr>
        <w:spacing w:line="360" w:lineRule="auto"/>
        <w:ind w:firstLine="640" w:firstLineChars="200"/>
        <w:rPr>
          <w:rFonts w:hint="eastAsia" w:ascii="宋体" w:hAnsi="宋体" w:cs="宋体"/>
          <w:sz w:val="32"/>
          <w:szCs w:val="32"/>
        </w:rPr>
      </w:pPr>
      <w:r>
        <w:rPr>
          <w:rFonts w:hint="eastAsia" w:ascii="宋体" w:hAnsi="宋体" w:cs="宋体"/>
          <w:sz w:val="32"/>
          <w:szCs w:val="32"/>
        </w:rPr>
        <w:t>⑤报价文件附有采购人不能接受的条件；</w:t>
      </w:r>
    </w:p>
    <w:p w14:paraId="2AB07BAB">
      <w:pPr>
        <w:spacing w:line="360" w:lineRule="auto"/>
        <w:ind w:firstLine="640" w:firstLineChars="200"/>
        <w:rPr>
          <w:rFonts w:hint="eastAsia" w:ascii="宋体" w:hAnsi="宋体" w:cs="宋体"/>
          <w:sz w:val="32"/>
          <w:szCs w:val="32"/>
        </w:rPr>
      </w:pPr>
      <w:r>
        <w:rPr>
          <w:rFonts w:hint="eastAsia" w:ascii="宋体" w:hAnsi="宋体" w:cs="宋体"/>
          <w:sz w:val="32"/>
          <w:szCs w:val="32"/>
        </w:rPr>
        <w:t>⑥不符合采购文件中规定的其他实质性要求。</w:t>
      </w:r>
    </w:p>
    <w:p w14:paraId="59F56CE2">
      <w:pPr>
        <w:spacing w:line="360" w:lineRule="auto"/>
        <w:ind w:firstLine="640" w:firstLineChars="200"/>
        <w:rPr>
          <w:rFonts w:hint="eastAsia" w:ascii="宋体" w:hAnsi="宋体" w:cs="宋体"/>
          <w:sz w:val="32"/>
          <w:szCs w:val="32"/>
        </w:rPr>
      </w:pPr>
      <w:r>
        <w:rPr>
          <w:rFonts w:hint="eastAsia" w:ascii="宋体" w:hAnsi="宋体" w:cs="宋体"/>
          <w:sz w:val="32"/>
          <w:szCs w:val="32"/>
        </w:rPr>
        <w:t>（二）采购人在开标后1个工作日内，按照评标过程中推荐的中标候选单位顺序，确定中标侯选人。</w:t>
      </w:r>
    </w:p>
    <w:p w14:paraId="398E7DB7">
      <w:pPr>
        <w:spacing w:line="360" w:lineRule="auto"/>
        <w:ind w:firstLine="640" w:firstLineChars="200"/>
        <w:rPr>
          <w:rFonts w:hint="eastAsia" w:ascii="宋体" w:hAnsi="宋体" w:cs="宋体"/>
          <w:sz w:val="32"/>
          <w:szCs w:val="32"/>
        </w:rPr>
      </w:pPr>
      <w:r>
        <w:rPr>
          <w:rFonts w:hint="eastAsia" w:ascii="宋体" w:hAnsi="宋体" w:cs="宋体"/>
          <w:sz w:val="32"/>
          <w:szCs w:val="32"/>
        </w:rPr>
        <w:t>（三）中标公示期为1个工作日，公示期满无异议，双方协商签订合同。</w:t>
      </w:r>
    </w:p>
    <w:p w14:paraId="24436444">
      <w:pPr>
        <w:spacing w:line="360" w:lineRule="auto"/>
        <w:ind w:firstLine="640" w:firstLineChars="200"/>
        <w:rPr>
          <w:rFonts w:hint="eastAsia" w:ascii="宋体" w:hAnsi="宋体" w:cs="宋体"/>
          <w:sz w:val="32"/>
          <w:szCs w:val="32"/>
        </w:rPr>
      </w:pPr>
      <w:r>
        <w:rPr>
          <w:rFonts w:hint="eastAsia" w:ascii="宋体" w:hAnsi="宋体" w:cs="宋体"/>
          <w:sz w:val="32"/>
          <w:szCs w:val="32"/>
        </w:rPr>
        <w:t>七、公告发布</w:t>
      </w:r>
    </w:p>
    <w:p w14:paraId="065654F3">
      <w:pPr>
        <w:spacing w:line="360" w:lineRule="auto"/>
        <w:ind w:firstLine="640" w:firstLineChars="200"/>
        <w:rPr>
          <w:rFonts w:hint="eastAsia" w:ascii="宋体" w:hAnsi="宋体" w:cs="宋体"/>
          <w:sz w:val="32"/>
          <w:szCs w:val="32"/>
        </w:rPr>
      </w:pPr>
      <w:r>
        <w:rPr>
          <w:rFonts w:hint="eastAsia" w:ascii="宋体" w:hAnsi="宋体" w:cs="宋体"/>
          <w:sz w:val="32"/>
          <w:szCs w:val="32"/>
        </w:rPr>
        <w:t>本项目询价公告和成交公示在</w:t>
      </w:r>
      <w:r>
        <w:rPr>
          <w:rFonts w:hint="eastAsia" w:ascii="宋体" w:hAnsi="宋体" w:cs="宋体"/>
          <w:sz w:val="32"/>
          <w:szCs w:val="32"/>
          <w:u w:val="single"/>
        </w:rPr>
        <w:t xml:space="preserve">  广西交通技师学院官网  </w:t>
      </w:r>
      <w:r>
        <w:rPr>
          <w:rFonts w:hint="eastAsia" w:ascii="宋体" w:hAnsi="宋体" w:cs="宋体"/>
          <w:sz w:val="32"/>
          <w:szCs w:val="32"/>
        </w:rPr>
        <w:t>上发布。</w:t>
      </w:r>
    </w:p>
    <w:p w14:paraId="4ECAFFC3">
      <w:pPr>
        <w:spacing w:line="360" w:lineRule="auto"/>
        <w:ind w:firstLine="640" w:firstLineChars="200"/>
        <w:rPr>
          <w:rFonts w:hint="eastAsia" w:ascii="宋体" w:hAnsi="宋体" w:cs="宋体"/>
          <w:sz w:val="32"/>
          <w:szCs w:val="32"/>
        </w:rPr>
      </w:pPr>
      <w:r>
        <w:rPr>
          <w:rFonts w:hint="eastAsia" w:ascii="宋体" w:hAnsi="宋体" w:cs="宋体"/>
          <w:sz w:val="32"/>
          <w:szCs w:val="32"/>
        </w:rPr>
        <w:t>八、联系方式</w:t>
      </w:r>
    </w:p>
    <w:p w14:paraId="7D0016E6">
      <w:pPr>
        <w:spacing w:line="360" w:lineRule="auto"/>
        <w:ind w:firstLine="640" w:firstLineChars="200"/>
        <w:rPr>
          <w:rFonts w:hint="eastAsia" w:ascii="宋体" w:hAnsi="宋体" w:cs="宋体"/>
          <w:sz w:val="32"/>
          <w:szCs w:val="32"/>
        </w:rPr>
      </w:pPr>
      <w:r>
        <w:rPr>
          <w:rFonts w:hint="eastAsia" w:ascii="宋体" w:hAnsi="宋体" w:cs="宋体"/>
          <w:sz w:val="32"/>
          <w:szCs w:val="32"/>
        </w:rPr>
        <w:t>采购人（全称）： 广西交通技师学院</w:t>
      </w:r>
    </w:p>
    <w:p w14:paraId="1AFF7225">
      <w:pPr>
        <w:spacing w:line="360" w:lineRule="auto"/>
        <w:ind w:firstLine="640" w:firstLineChars="200"/>
        <w:rPr>
          <w:rFonts w:hint="eastAsia" w:ascii="宋体" w:hAnsi="宋体" w:cs="宋体"/>
          <w:sz w:val="32"/>
          <w:szCs w:val="32"/>
        </w:rPr>
      </w:pPr>
      <w:r>
        <w:rPr>
          <w:rFonts w:hint="eastAsia" w:ascii="宋体" w:hAnsi="宋体" w:cs="宋体"/>
          <w:sz w:val="32"/>
          <w:szCs w:val="32"/>
        </w:rPr>
        <w:t xml:space="preserve">地址：南宁市兴宁区邕武路9号 </w:t>
      </w:r>
    </w:p>
    <w:p w14:paraId="3E75A13A">
      <w:pPr>
        <w:spacing w:line="360" w:lineRule="auto"/>
        <w:ind w:firstLine="640" w:firstLineChars="200"/>
        <w:rPr>
          <w:rFonts w:hint="eastAsia" w:ascii="宋体" w:hAnsi="宋体" w:cs="宋体"/>
          <w:sz w:val="32"/>
          <w:szCs w:val="32"/>
        </w:rPr>
      </w:pPr>
      <w:r>
        <w:rPr>
          <w:rFonts w:hint="eastAsia" w:ascii="宋体" w:hAnsi="宋体" w:cs="宋体"/>
          <w:sz w:val="32"/>
          <w:szCs w:val="32"/>
        </w:rPr>
        <w:t>联系人：李老师</w:t>
      </w:r>
    </w:p>
    <w:p w14:paraId="719FB2DD">
      <w:pPr>
        <w:spacing w:line="360" w:lineRule="auto"/>
        <w:ind w:firstLine="640" w:firstLineChars="200"/>
        <w:rPr>
          <w:rFonts w:hint="eastAsia" w:ascii="宋体" w:hAnsi="宋体" w:cs="宋体"/>
          <w:sz w:val="32"/>
          <w:szCs w:val="32"/>
        </w:rPr>
      </w:pPr>
      <w:r>
        <w:rPr>
          <w:rFonts w:hint="eastAsia" w:ascii="宋体" w:hAnsi="宋体" w:cs="宋体"/>
          <w:sz w:val="32"/>
          <w:szCs w:val="32"/>
        </w:rPr>
        <w:t>联系电话：0771-3393443</w:t>
      </w:r>
    </w:p>
    <w:p w14:paraId="4B62D436">
      <w:pPr>
        <w:spacing w:line="360" w:lineRule="auto"/>
        <w:ind w:firstLine="640" w:firstLineChars="200"/>
        <w:rPr>
          <w:rFonts w:hint="eastAsia" w:ascii="宋体" w:hAnsi="宋体" w:cs="宋体"/>
          <w:sz w:val="32"/>
          <w:szCs w:val="32"/>
        </w:rPr>
      </w:pPr>
      <w:r>
        <w:rPr>
          <w:rFonts w:hint="eastAsia" w:ascii="宋体" w:hAnsi="宋体" w:cs="宋体"/>
          <w:sz w:val="32"/>
          <w:szCs w:val="32"/>
        </w:rPr>
        <w:t xml:space="preserve">监督电话：0771-3851601    </w:t>
      </w:r>
    </w:p>
    <w:p w14:paraId="6B01A642">
      <w:pPr>
        <w:spacing w:line="360" w:lineRule="auto"/>
        <w:ind w:firstLine="640" w:firstLineChars="200"/>
        <w:rPr>
          <w:rFonts w:hint="eastAsia" w:ascii="宋体" w:hAnsi="宋体" w:cs="宋体"/>
          <w:sz w:val="32"/>
          <w:szCs w:val="32"/>
        </w:rPr>
      </w:pPr>
    </w:p>
    <w:p w14:paraId="308D33FA">
      <w:pPr>
        <w:pStyle w:val="5"/>
        <w:spacing w:line="360" w:lineRule="auto"/>
        <w:rPr>
          <w:rFonts w:hint="eastAsia"/>
        </w:rPr>
      </w:pPr>
      <w:r>
        <w:rPr>
          <w:rFonts w:hint="eastAsia" w:ascii="宋体" w:hAnsi="宋体" w:cs="宋体"/>
          <w:sz w:val="32"/>
          <w:szCs w:val="32"/>
        </w:rPr>
        <w:t xml:space="preserve">   </w:t>
      </w:r>
    </w:p>
    <w:p w14:paraId="18B6573E">
      <w:pPr>
        <w:spacing w:line="360" w:lineRule="auto"/>
        <w:ind w:right="960"/>
        <w:jc w:val="center"/>
        <w:rPr>
          <w:rFonts w:hint="eastAsia" w:ascii="宋体" w:hAnsi="宋体" w:cs="宋体"/>
          <w:sz w:val="32"/>
          <w:szCs w:val="32"/>
        </w:rPr>
      </w:pPr>
      <w:r>
        <w:rPr>
          <w:rFonts w:hint="eastAsia" w:ascii="宋体" w:hAnsi="宋体" w:cs="宋体"/>
          <w:sz w:val="32"/>
          <w:szCs w:val="32"/>
        </w:rPr>
        <w:t xml:space="preserve">                                     广西交通技师学院</w:t>
      </w:r>
    </w:p>
    <w:p w14:paraId="5D707400">
      <w:pPr>
        <w:spacing w:line="360" w:lineRule="auto"/>
        <w:ind w:right="1280"/>
        <w:jc w:val="center"/>
        <w:rPr>
          <w:rFonts w:hint="eastAsia" w:ascii="宋体" w:hAnsi="宋体" w:cs="宋体"/>
          <w:sz w:val="32"/>
          <w:szCs w:val="32"/>
        </w:rPr>
      </w:pPr>
      <w:r>
        <w:rPr>
          <w:rFonts w:hint="eastAsia" w:ascii="宋体" w:hAnsi="宋体" w:cs="宋体"/>
          <w:sz w:val="32"/>
          <w:szCs w:val="32"/>
        </w:rPr>
        <w:t xml:space="preserve">                                       202</w:t>
      </w:r>
      <w:r>
        <w:rPr>
          <w:rFonts w:hint="eastAsia" w:ascii="宋体" w:hAnsi="宋体" w:cs="宋体"/>
          <w:sz w:val="32"/>
          <w:szCs w:val="32"/>
          <w:lang w:val="en-US" w:eastAsia="zh-CN"/>
        </w:rPr>
        <w:t>5</w:t>
      </w:r>
      <w:r>
        <w:rPr>
          <w:rFonts w:hint="eastAsia" w:ascii="宋体" w:hAnsi="宋体" w:cs="宋体"/>
          <w:sz w:val="32"/>
          <w:szCs w:val="32"/>
        </w:rPr>
        <w:t>年</w:t>
      </w:r>
      <w:r>
        <w:rPr>
          <w:rFonts w:hint="eastAsia" w:ascii="宋体" w:hAnsi="宋体" w:cs="宋体"/>
          <w:sz w:val="32"/>
          <w:szCs w:val="32"/>
          <w:lang w:val="en-US" w:eastAsia="zh-CN"/>
        </w:rPr>
        <w:t>11</w:t>
      </w:r>
      <w:r>
        <w:rPr>
          <w:rFonts w:hint="eastAsia" w:ascii="宋体" w:hAnsi="宋体" w:cs="宋体"/>
          <w:sz w:val="32"/>
          <w:szCs w:val="32"/>
        </w:rPr>
        <w:t>月</w:t>
      </w:r>
      <w:r>
        <w:rPr>
          <w:rFonts w:hint="eastAsia" w:ascii="宋体" w:hAnsi="宋体" w:cs="宋体"/>
          <w:sz w:val="32"/>
          <w:szCs w:val="32"/>
          <w:lang w:val="en-US" w:eastAsia="zh-CN"/>
        </w:rPr>
        <w:t>3</w:t>
      </w:r>
      <w:r>
        <w:rPr>
          <w:rFonts w:hint="eastAsia" w:ascii="宋体" w:hAnsi="宋体" w:cs="宋体"/>
          <w:sz w:val="32"/>
          <w:szCs w:val="32"/>
        </w:rPr>
        <w:t>日</w:t>
      </w:r>
    </w:p>
    <w:p w14:paraId="0EDC3A2C">
      <w:pPr>
        <w:spacing w:line="360" w:lineRule="auto"/>
        <w:ind w:right="1280"/>
        <w:rPr>
          <w:rFonts w:hint="eastAsia"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附件：</w:t>
      </w:r>
    </w:p>
    <w:tbl>
      <w:tblPr>
        <w:tblStyle w:val="16"/>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8391"/>
      </w:tblGrid>
      <w:tr w14:paraId="08D1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639" w:type="dxa"/>
            <w:noWrap w:val="0"/>
            <w:vAlign w:val="center"/>
          </w:tcPr>
          <w:p w14:paraId="3CB4FE5E">
            <w:pPr>
              <w:keepNext w:val="0"/>
              <w:keepLines w:val="0"/>
              <w:suppressLineNumbers w:val="0"/>
              <w:spacing w:before="0" w:beforeAutospacing="0" w:after="0" w:afterAutospacing="0"/>
              <w:ind w:left="0" w:right="0"/>
              <w:jc w:val="center"/>
              <w:rPr>
                <w:rFonts w:hint="eastAsia" w:ascii="Times New Roman" w:hAnsi="Times New Roman" w:cs="Times New Roman"/>
                <w:b/>
                <w:bCs/>
                <w:sz w:val="28"/>
                <w:szCs w:val="28"/>
                <w:highlight w:val="none"/>
              </w:rPr>
            </w:pPr>
            <w:r>
              <w:rPr>
                <w:rFonts w:hint="eastAsia" w:ascii="Times New Roman" w:hAnsi="Times New Roman" w:cs="Times New Roman"/>
                <w:b/>
                <w:bCs/>
                <w:sz w:val="28"/>
                <w:szCs w:val="28"/>
                <w:highlight w:val="none"/>
              </w:rPr>
              <w:t>产品名称</w:t>
            </w:r>
          </w:p>
        </w:tc>
        <w:tc>
          <w:tcPr>
            <w:tcW w:w="8391" w:type="dxa"/>
            <w:noWrap w:val="0"/>
            <w:vAlign w:val="center"/>
          </w:tcPr>
          <w:p w14:paraId="408E6903">
            <w:pPr>
              <w:keepNext w:val="0"/>
              <w:keepLines w:val="0"/>
              <w:suppressLineNumbers w:val="0"/>
              <w:spacing w:before="0" w:beforeAutospacing="0" w:after="0" w:afterAutospacing="0"/>
              <w:ind w:left="0" w:right="0"/>
              <w:jc w:val="center"/>
              <w:rPr>
                <w:rFonts w:hint="eastAsia" w:ascii="Times New Roman" w:hAnsi="Times New Roman" w:cs="Times New Roman"/>
                <w:b/>
                <w:bCs/>
                <w:sz w:val="28"/>
                <w:szCs w:val="28"/>
                <w:highlight w:val="none"/>
              </w:rPr>
            </w:pPr>
            <w:r>
              <w:rPr>
                <w:rFonts w:hint="eastAsia" w:ascii="Times New Roman" w:hAnsi="Times New Roman" w:cs="Times New Roman"/>
                <w:b/>
                <w:bCs/>
                <w:sz w:val="28"/>
                <w:szCs w:val="28"/>
                <w:highlight w:val="none"/>
              </w:rPr>
              <w:t>技术参数</w:t>
            </w:r>
          </w:p>
        </w:tc>
      </w:tr>
      <w:tr w14:paraId="46A4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noWrap w:val="0"/>
            <w:vAlign w:val="center"/>
          </w:tcPr>
          <w:p w14:paraId="7AD82C23">
            <w:pPr>
              <w:keepNext w:val="0"/>
              <w:keepLines w:val="0"/>
              <w:suppressLineNumbers w:val="0"/>
              <w:spacing w:before="0" w:beforeAutospacing="0" w:after="0" w:afterAutospacing="0"/>
              <w:ind w:left="0" w:right="0"/>
              <w:jc w:val="center"/>
              <w:rPr>
                <w:rFonts w:hint="eastAsia" w:ascii="Times New Roman" w:hAnsi="Times New Roman" w:cs="Times New Roman"/>
                <w:highlight w:val="none"/>
              </w:rPr>
            </w:pPr>
            <w:r>
              <w:rPr>
                <w:rFonts w:hint="eastAsia" w:ascii="Times New Roman" w:hAnsi="Times New Roman" w:cs="Times New Roman"/>
                <w:highlight w:val="none"/>
              </w:rPr>
              <w:t>交互智能平板一体机</w:t>
            </w:r>
          </w:p>
        </w:tc>
        <w:tc>
          <w:tcPr>
            <w:tcW w:w="8391" w:type="dxa"/>
            <w:noWrap w:val="0"/>
            <w:vAlign w:val="center"/>
          </w:tcPr>
          <w:p w14:paraId="2FEE8F95">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一、侧边栏教学设计</w:t>
            </w:r>
          </w:p>
          <w:p w14:paraId="22FFCECE">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1、整机全通道侧边栏快捷菜单包含如下小工具：批注、降半屏、截屏、放大镜、倒计时、日历、聚光灯、秒表、冻屏、倒数日、答题、节拍器。</w:t>
            </w:r>
          </w:p>
          <w:p w14:paraId="2D0CCDA0">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2、整机全通道侧边栏支持使用批注小工具进行批注讲解，可切换书写笔颜色、截屏保存批注内容、清屏，可根据手与屏幕的接触面积自动调整板擦工具的大小。</w:t>
            </w:r>
          </w:p>
          <w:p w14:paraId="287ACE24">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3、整机全通道侧边栏快捷菜单支持快捷调节音量、亮度，支持自动亮度模式，支持点击静音按钮静音。</w:t>
            </w:r>
          </w:p>
          <w:p w14:paraId="4FC7A3A5">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4、教学中可以实时查看物联设备的连接情况，点击任意一台设备图标即可调出中控菜单进行管控。</w:t>
            </w:r>
          </w:p>
          <w:p w14:paraId="2E61F97F">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★5、整机安卓和全部外接通道（HDMI、Type-c）下侧边栏支持节拍器，支持设置节拍、轻重、节拍播放速度。</w:t>
            </w:r>
          </w:p>
          <w:p w14:paraId="4D02FA3E">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6、整机安卓和全部外接通道（HDMI、Type-C）下侧边栏支持设置倒数日。</w:t>
            </w:r>
          </w:p>
          <w:p w14:paraId="7FBACEAF">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7、整机全通道侧边栏支持倒计时、正计时功能；倒计时，输入某特定时间值，可精确到秒，点击开始进入倒计时；正计时，点击开始计时便自动开始，并实时显示时间。</w:t>
            </w:r>
          </w:p>
          <w:p w14:paraId="706B2492">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8、教学支持放大任意区域内容；并可支持对未选中区域关灯处理，实现聚光灯效果。</w:t>
            </w:r>
          </w:p>
          <w:p w14:paraId="5E238C48">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9、整机安卓和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p>
          <w:p w14:paraId="00F11ECD">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二、整机系统设计</w:t>
            </w:r>
          </w:p>
          <w:p w14:paraId="0A3902DB">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（一）电脑系统</w:t>
            </w:r>
          </w:p>
          <w:p w14:paraId="371EECB4">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1、CPU：搭载Intel  酷睿系列≥ i7 CPU。</w:t>
            </w:r>
          </w:p>
          <w:p w14:paraId="2F5605D9">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2、内存：16GB DDR4笔记本内存或以上配置。</w:t>
            </w:r>
          </w:p>
          <w:p w14:paraId="22A3FD88">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3、硬盘：256G或以上SSD固态硬盘。</w:t>
            </w:r>
          </w:p>
          <w:p w14:paraId="7B0D4EC5">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4、PC模块可抽拉式插入整机，可实现无单独接线的插拔，和整机的连接采用万兆级接口，传输速率≥10Gbps。</w:t>
            </w:r>
          </w:p>
          <w:p w14:paraId="3C01604C">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5、采用按压式卡扣，无需工具就可快速拆卸电脑模块。</w:t>
            </w:r>
          </w:p>
          <w:p w14:paraId="34A6693F">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6、PC模块的USB接口须为冗余备份接口，在正常使用整机的内置摄像头、内置麦克风功能时，USB接口不被占用，确保教师有足够的接口外接存储设备及显示设备。</w:t>
            </w:r>
          </w:p>
          <w:p w14:paraId="7E2FAF4E">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7、具有独立非外扩展的视频输出接口：≥1路HDMI 。</w:t>
            </w:r>
          </w:p>
          <w:p w14:paraId="3E77B1C6">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8、具有独立非外拓展的电脑 USB 接口：至少具备 3个USB3.0 接口。</w:t>
            </w:r>
          </w:p>
          <w:p w14:paraId="4A038236">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★9、整机具备供电保护模块，能够检测内置电脑是否插好在位，在内置电脑未在位的情况下，内置电脑无法上电工作。</w:t>
            </w:r>
          </w:p>
          <w:p w14:paraId="58DF48EA">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（二）触摸系统</w:t>
            </w:r>
          </w:p>
          <w:p w14:paraId="76531576">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★1、采用红外触控技术，支持Windows系统中进行40点或以上触控，支持在Android系统中进行40点或以上触控。（供货时须提供国家认可的第三方检测机构出具的关于该功能检测报告复印件）</w:t>
            </w:r>
          </w:p>
          <w:p w14:paraId="7A24F501">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2、整机屏幕触摸有效识别高度不超过1.5mm，即触摸物体距离玻璃外表面高度不超过1.5mm时，触摸屏识别为点击操作。</w:t>
            </w:r>
          </w:p>
          <w:p w14:paraId="7DB75632">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3、整机触控书写功能集成预测算法，在书写速度≥50cm/s，支持笔迹距离笔的距离小于20mm。</w:t>
            </w:r>
          </w:p>
          <w:p w14:paraId="518FA3EF">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4、整机系统支持书写触控延迟≤25ms</w:t>
            </w:r>
          </w:p>
          <w:p w14:paraId="3DED77B7">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★5、整机支持提笔书写，在Windows系统下可实现无需点击任意功能入口，当检测到红外笔笔尖接触屏幕时，自动进入书写模式。（供货时须提供国家认可的第三方检测机构出具的关于该功能检测报告复印件）</w:t>
            </w:r>
          </w:p>
          <w:p w14:paraId="5AAA6B34">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6、支持智能板擦功能，系统可根据触控物体的形状自动识别出实物板擦，可擦除电子白板中的内容，无需依赖外部电子设备。</w:t>
            </w:r>
          </w:p>
          <w:p w14:paraId="182B6F9A">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7、支持Windows 7、Windows 8、Windows 10、Windows 11、Linux、Mac Os、UOS和麒麟系统外置电脑操作系统接入时，无需安装触摸驱动。</w:t>
            </w:r>
          </w:p>
          <w:p w14:paraId="31B6FEC6">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★8、整机触摸支持动态压力感应，支持无任何电子功能的普通书写笔在整机上书写或点压时，整机能感应压力变化，书写或点压过程笔迹呈现不同粗细。</w:t>
            </w:r>
          </w:p>
          <w:p w14:paraId="7F2869EF">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（三）嵌入式系统</w:t>
            </w:r>
          </w:p>
          <w:p w14:paraId="7C03EE51">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★1、嵌入式系统版本不低于Android 13，内存≥2GB，存储空间≥8GB。（供货时须提供国家认可的第三方检测机构出具的关于该功能检测报告复印件）</w:t>
            </w:r>
          </w:p>
          <w:p w14:paraId="2BD55481">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2、嵌入式Android操作系统下，白板支持对已经书写的笔迹和形状的颜色进行更换。</w:t>
            </w:r>
          </w:p>
          <w:p w14:paraId="5C6C94E0">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3、在嵌入式系统下使用白板软件时，整机可自行调节屏幕亮度</w:t>
            </w:r>
          </w:p>
          <w:p w14:paraId="2E9E4C9D">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4、嵌入式Android操作系统下，互动白板支持不同背景颜色，同时提供学科背景，如：五线谱、信纸、田字格、英文格、篮球和足球场地平面图。</w:t>
            </w:r>
          </w:p>
          <w:p w14:paraId="0E9985A8">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14:paraId="111DE638">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6、无PC状态下，嵌入式系统内置互动白板支持全局漫游，并能在工具栏中对全局内容进行预览和移动。</w:t>
            </w:r>
          </w:p>
          <w:p w14:paraId="69A48816">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7、无PC状态下，嵌入式Android操作系统下可使用白板书写、WPS软件和网页浏览。</w:t>
            </w:r>
          </w:p>
          <w:p w14:paraId="2593C344">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三、整机屏幕设计</w:t>
            </w:r>
          </w:p>
          <w:p w14:paraId="51D05FE3">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1、整机采用一体设计，外部无任何可见内部功能模块连接线。整机采用全金属外壳设计，边角采用弧形设计，表面无尖锐边缘或凸起。</w:t>
            </w:r>
          </w:p>
          <w:p w14:paraId="401EFA6F">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2、整机屏幕边缘采用金属圆角包边防护，整机背板采用金属材质，有效屏蔽内部电路器件辐射；防潮耐盐雾蚀锈，适应多种教学环境。</w:t>
            </w:r>
          </w:p>
          <w:p w14:paraId="58590610">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★3、整机屏幕采用≥86英寸液晶显示器，采用UHD超高清LED液晶屏，显示比例16:9，分辨率3840×2160，色域覆盖率（NTSC）≥72%，灰度等级≥256级。</w:t>
            </w:r>
          </w:p>
          <w:p w14:paraId="2447D71B">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4、整机采用全物理钢化玻璃，有效保护屏幕显示画面，采用防眩光玻璃，屏幕支持防眩光功能，钢化玻璃表面硬度≥9H。</w:t>
            </w:r>
          </w:p>
          <w:p w14:paraId="64CC3B72">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5、整机背光系统支持DC调光方式，多级亮度调节，支持白颜色背景下最暗亮度≤100nit，用于提升显示对比度</w:t>
            </w:r>
          </w:p>
          <w:p w14:paraId="7E14D17B">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★6、整机采用硬件低蓝光背光技术，在源头减少有害蓝光波段能量，蓝光占比（有害蓝光415～455nm能量综合）/（整体蓝光400～500能量综合）≤50%，低蓝光保护显示不偏色、不泛黄。</w:t>
            </w:r>
          </w:p>
          <w:p w14:paraId="1C0E3D68">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7、整机支持支持可自定义图像设置，可对对比度、屏幕色温、图像亮度、亮度范围、色彩空间进行更进一步调节设置。</w:t>
            </w:r>
          </w:p>
          <w:p w14:paraId="3A2EAD02">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★8、整机支持色彩空间可选，包含标准模式和sRGB模式，在sRGB模式下可做到高色准△E≤1.0。（供货时须提供国家认可的第三方检测机构出具的关于该功能检测报告复印件）</w:t>
            </w:r>
          </w:p>
          <w:p w14:paraId="51A5804A">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四、整机接口设计</w:t>
            </w:r>
          </w:p>
          <w:p w14:paraId="5EEF7F76">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1、侧置输入接口具备≥2路HDMI、≥1路RS232、≥1路USB接口。</w:t>
            </w:r>
          </w:p>
          <w:p w14:paraId="4A4C8D68">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2、侧置输出接口具备≥1路音频输出、≥1路触控USB输出。</w:t>
            </w:r>
          </w:p>
          <w:p w14:paraId="40971C99">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3、前置输入接口≥3路USB接口（包含≥1路Type-C、≥2路USB），前置USB接口支持Android系统、Windows系统读取外接移动存储设备。</w:t>
            </w:r>
          </w:p>
          <w:p w14:paraId="72F437EC">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★4、整机具备前置Type-C接口，type-C 支持最大充电功率15W，通过Type-C接口实现音视频输入，外接电脑设备经双头Type-C线连接至整机，即可把外接电脑设备画面投到整机上，同时在整机上操作画面，可实现触摸电脑的操作，无需再连接触控USB线。（供货时须提供国家认可的第三方检测机构出具的关于该功能检测报告复印件）</w:t>
            </w:r>
          </w:p>
          <w:p w14:paraId="2D9D85FD">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5、外接电脑设备经双头Type-C线连接至整机，可调用整机内置的摄像头、麦克风、扬声器，在外接电脑即可控制整机拍摄教室画面。</w:t>
            </w:r>
          </w:p>
          <w:p w14:paraId="7D7AF7CC">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6、支持通过Type-C接口U盘进行文件传输，兼容Type-C接口手机充电。</w:t>
            </w:r>
          </w:p>
          <w:p w14:paraId="01DE3254">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五、教学音视频设计</w:t>
            </w:r>
          </w:p>
          <w:p w14:paraId="5AF8EAFE">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1、整机上边框内置非独立式摄像头，采用一体化集成设计，摄像头数量≥4个。</w:t>
            </w:r>
          </w:p>
          <w:p w14:paraId="0F914B39">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★2、整机上边框内置非独立式广角高清摄像头，视场角≥142度且水平视场角≥121度，支持输出4:3、16:9比例的图片和视频；在清晰度为2592 x 1944分辨率下，支持30帧的视频输出。（供货时须提供国家认可的第三方检测机构出具的关于该功能检测报告复印件）</w:t>
            </w:r>
          </w:p>
          <w:p w14:paraId="18E3C4FE">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★3、整机支持上边框内置非独立摄像头模组，同时输出至少 3 路视频流，同时支持课堂远程巡课、课堂教学数据采集、本地画面预览（拍照或视频录制）。（供货时须提供国家认可的第三方检测机构出具的关于该功能检测报告复印件）</w:t>
            </w:r>
          </w:p>
          <w:p w14:paraId="776008DF">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4、具备摄像头工作指示灯，摄像头运行时，有指示灯提示。</w:t>
            </w:r>
          </w:p>
          <w:p w14:paraId="55D2158F">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5、整机上边框内置非独立的广角高清摄像头，在距离整机1.7米情况下，且拍摄范围可以覆盖摄像头垂直法线左右距离大于等于4米，可以实现人脸识别。（供货时须提供国家认可的第三方检测机构出具的关于该功能检测报告复印件）</w:t>
            </w:r>
          </w:p>
          <w:p w14:paraId="62B2E8A2">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6、整机上边框内置非独式广角摄像头和智能拼接摄像头， 均支持 3D 降噪算法和数字宽动态范围成像WDR 技术，支持输出 MJPG、 H.264 视频格式。</w:t>
            </w:r>
          </w:p>
          <w:p w14:paraId="50643AAD">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★7、整机摄像头支持人脸识别、清点人数、随机抽人；识别所有学生，显示标记，然后随机抽选，同时显示标记不少于60人。（供货时须提供国家认可的第三方检测机构出具的关于该功能检测报告复印件）</w:t>
            </w:r>
          </w:p>
          <w:p w14:paraId="739E79BB">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8、整机可选择高级音效设置，支持在左右声道平衡显示范围中进行更改；中低频段显示调节范围125Hz～1KHz，高频段显示调节范围 2KHz～16KHz，分贝显示-12dB～12dB 调节范围。</w:t>
            </w:r>
          </w:p>
          <w:p w14:paraId="36BFACD9">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9、整机扬声器在100%音量下，可做到1米处声压级≥88db，10米处声压级≥79dB。</w:t>
            </w:r>
          </w:p>
          <w:p w14:paraId="0D5BC7EF">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10、整机内置2.2声道扬声器，位于设备上边框，顶置朝前发声，前朝向10W高音扬声器2个，上朝向20W中低音扬声器2个，额定总功率60W。整机内置扬声器采用缝隙发声技术，喇叭采用槽式开口设计，不大于5.8mm。（供货时须提供国家认可的第三方检测机构出具的关于该功能检测报告复印件）</w:t>
            </w:r>
          </w:p>
          <w:p w14:paraId="47DC5C37">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★11、整机内置非独立外扩展的8阵列麦克风，拾音角度≥180°，可用于对教室环境音频进行采集，拾音距离≥12m。（供货时须提供国家认可的第三方检测机构出具的关于该功能检测报告复印件）</w:t>
            </w:r>
          </w:p>
          <w:p w14:paraId="1BA8AC14">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12、整机PC端支持主动发现蓝牙外设从而连接（无需整机进入发现模式），支持连接外部蓝牙音箱播放音频。</w:t>
            </w:r>
          </w:p>
          <w:p w14:paraId="5095BC4B">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13、支持标准、听力、观影和AI空间感知音效模式，AI空间感知音效模式可通过内置麦克风采集教室物理环境声音，自动生成符合当前教室物理环境的频段、音量、音效。（供货时须提供国家认可的第三方检测机构出具的关于该功能检测报告复印件）</w:t>
            </w:r>
          </w:p>
          <w:p w14:paraId="30CCBDB0">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六、教学功能设计</w:t>
            </w:r>
          </w:p>
          <w:p w14:paraId="738399B0">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1、支持通过数字账号、微信二维码、硬件密钥方式登录教师个人账号。</w:t>
            </w:r>
          </w:p>
          <w:p w14:paraId="13C99CB1">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2、移动端支持教师/家长双重身份无缝切换，软件内可直接切换账户类型，无需安装多个APP应用或退出账号重新登录。</w:t>
            </w:r>
          </w:p>
          <w:p w14:paraId="3C2D390E">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★3、兼容多平台系统，可在PC、Web、安卓、iOS等系统使用，且各终端数据互通，教师可多场景下对学生进行管理与评价。</w:t>
            </w:r>
          </w:p>
          <w:p w14:paraId="007E917F">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4、支持汇总查看校内的班级评价排名，可以列表形式查看班主任、班级学生数、家长数、班级代码等信息。</w:t>
            </w:r>
          </w:p>
          <w:p w14:paraId="2F0D4674">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5、三合一电源按键，同一电源物理按键完成Android系统和Windows系统的开机、节能熄屏、关机操作；关机状态下按按键开机；开机状态下按按键实现节能熄屏/唤醒，长按按键实现关机。</w:t>
            </w:r>
          </w:p>
          <w:p w14:paraId="3F4FA598">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6、设备支持通过前置面板物理按键一键启动录屏功能，可将屏幕中显示的课件、音频内容与人声同时录制。</w:t>
            </w:r>
          </w:p>
          <w:p w14:paraId="78BBDEEC">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7、整机支持至少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p>
          <w:p w14:paraId="721C6F09">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8、整机支持自定义图像设置，可对对比度、屏幕色温、图像亮度、亮度范围、色彩空间调节设置。</w:t>
            </w:r>
          </w:p>
          <w:p w14:paraId="14B1B8CF">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9、整机关机状态下，通过长按电源键进入设置界面后，可点击屏幕选择故障检测、系统还原功能，系统还原可单独还原PC系统，单独还原整机系统。</w:t>
            </w:r>
          </w:p>
          <w:p w14:paraId="62C946D6">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10、整机无需外接无线网卡，在Android和Windows系统下可实现Wi-Fi无线上网连接、AP无线热点发射和BT蓝牙连接功能。</w:t>
            </w:r>
          </w:p>
          <w:p w14:paraId="44A47FB9">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11、整机支持蓝牙Bluetooth 5.4标准，固件版本号HCI13.0/LMP13.0。</w:t>
            </w:r>
          </w:p>
          <w:p w14:paraId="7BDF42AD">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12、整机支持发出频率为18kHz-22kHz超声波信号，智能手机通过麦克风接收后，智能手机与整机无需在同一局域网内，可实现配对，一键投屏，用户无需手动输入投屏码或扫码获取投屏码。（供货时须提供国家认可的第三方检测机构出具的关于该功能检测报告复印件）</w:t>
            </w:r>
          </w:p>
          <w:p w14:paraId="67947FDD">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13、整机内置双WiFi6无线网卡，在Android下支持无线设备同时连接数量≥32个，在Windows系统下支持无线设备同时连接≥8个。</w:t>
            </w:r>
          </w:p>
          <w:p w14:paraId="52DFCE9F">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14、整机设备教学桌面支持教学常用的教学白板软件和文件管理软件软件；教学桌面首页支持自定义桌面应用，支持展示8个应用入口。并提供进入本机所有应用的入口。</w:t>
            </w:r>
          </w:p>
          <w:p w14:paraId="490CAA1B">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★15、整机全通道支持纸质护眼模式，可实现画面纹理的实时调整；支持纸质纹理：牛皮纸、素描纸、宣纸、水彩纸、水纹纸；支持透明度调节；支持色温调节。</w:t>
            </w:r>
          </w:p>
          <w:p w14:paraId="6B05BCEF">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七、教学教研设计</w:t>
            </w:r>
          </w:p>
          <w:p w14:paraId="480A328A">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1、集体备课功能：支持选择教案、课件、胶囊资源上传发起集备研讨，支持设置多重访问权限，通过手机号搜索即可邀请外校老师，可用于跨校教研场景。</w:t>
            </w:r>
          </w:p>
          <w:p w14:paraId="13F83B8B">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云教案功能：提供教案模板以供老师撰写教案，预置表格式、提纲式、集备式、多课时式等不少于5个教案模板；支持校本教案模板设计，管理员在教研管理后台设置校本模板后，老师可在云教案模板直接调用。</w:t>
            </w:r>
          </w:p>
          <w:p w14:paraId="343A2DAC">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3、电子化听评课功能：支持在授课模式中发起授课评价，根据课程和评课表生成二维码，可选择是否分享课件，若选择分享课件，评课人通过扫码即可参与评课并获取课件。</w:t>
            </w:r>
          </w:p>
          <w:p w14:paraId="667EC53A">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4、查看评课记录：支持在我的学校中查看我评的课、我讲的课的历史评价记录。</w:t>
            </w:r>
          </w:p>
          <w:p w14:paraId="782305B4">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5、导出评课报告和听课记录：支持导出我讲的课的评课报告为PDF文档，支持导出我评的课的评课表为WORD文档。</w:t>
            </w:r>
          </w:p>
          <w:p w14:paraId="00A6DDDA">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6、备课数据查看：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p>
          <w:p w14:paraId="16F348D3">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7、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投标时须提供国家认可的第三方检测机构出具的关于该功能检测报告复印件）</w:t>
            </w:r>
          </w:p>
          <w:p w14:paraId="7592F9E8">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8、听课评课数据详情：全校听评课数据统一汇总，数据包含全校本月评课节数，本月评课次数，累计评课节数和累计评课次数，了解听评课教研活动的开展情况。支持按评课人数/评课平均分查看全校排行详细数据。（投标时须提供国家认可的第三方检测机构出具的关于该功能检测报告复印件）</w:t>
            </w:r>
          </w:p>
          <w:p w14:paraId="4DF387C1">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八、教学备授课软件设计</w:t>
            </w:r>
          </w:p>
          <w:p w14:paraId="2A88CAD6">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1、备授课一体化，具有备课模式及授课模式，且内置的操作界面可根据备课和授课使用场景不同而选择。</w:t>
            </w:r>
          </w:p>
          <w:p w14:paraId="5DB16172">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2、备课模式工具栏具备自动根据老师账号中关联的学科不同而提供相对应的教学工具。</w:t>
            </w:r>
          </w:p>
          <w:p w14:paraId="05F72C0E">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AI智能备课助手：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投标时须提供国家认可的第三方检测机构出具的关于该功能检测报告复印件）</w:t>
            </w:r>
          </w:p>
          <w:p w14:paraId="3CC44C60">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4、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p>
          <w:p w14:paraId="4D2AD708">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5、云教案功能：</w:t>
            </w:r>
          </w:p>
          <w:p w14:paraId="4691B006">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（1）云教案分享：云教案内容可自动同步至云空间，支持以链接方式进行定向式分享和开放式分享。接收者可直接在桌面浏览器.微信内打开预览，可将运教案转存至个人云空间。</w:t>
            </w:r>
          </w:p>
          <w:p w14:paraId="64F705E5">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（2）云教案模板：提供教案模板以供老师撰写教案，预置表格式.提纲式.集备式.多课时式等不少于3个教案模板。</w:t>
            </w:r>
          </w:p>
          <w:p w14:paraId="73805946">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（3）支持校本教案模板设计，管理员在教研管理后台设置校本模板后，老师可在云教案模板直接调用。</w:t>
            </w:r>
          </w:p>
          <w:p w14:paraId="1AF05ADD">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（4）云教案与云课件可一对多关联绑定，产生绑定后，在课件页和教案页均支持在同一面板打开关联的云课件或云教案预览，便于老师备课时相互对照。</w:t>
            </w:r>
          </w:p>
          <w:p w14:paraId="45E1BF87">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6、AI智能生成课堂活动：具有课堂活动智能填写功能，支持选词填空.判断对错和趣味选择三大课堂活动。输入文本后可以一键解析，自动将文本内容结构化填充至题干和正确选项，完成课堂活动的制作。（投标时须提供国家认可的第三方检测机构出具的关于该功能检测报告复印件）</w:t>
            </w:r>
          </w:p>
          <w:p w14:paraId="3D031C3C">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7、课堂互动游戏支持云储存功能：编辑完成的活动可一键存储至教师云空间，便于在不同课件中直接调用，无需反复编辑。</w:t>
            </w:r>
          </w:p>
          <w:p w14:paraId="6D5874DB">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8、智能选词填空：支持创建智能选词填空游戏，填空选项支持并列选项，并列选项支持答案互换，教师可随意编辑填空题题干以及相应的答案选项，将选项拖到对应题干空白处，系统自动判断答案正误，系统需提供不少于9种游戏模板，且模板样式支持自定义修改。</w:t>
            </w:r>
          </w:p>
          <w:p w14:paraId="1F8E815B">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9、智能配对游戏：支持创建配对游戏，教师可随意将知识点进行配对。当开始配对游戏时，拖动知识点进行配对，系统将自动判断是否正确。系统至少提供10种游戏模版，且模版样式支持自定义修改，同时支持设置干扰项。</w:t>
            </w:r>
          </w:p>
          <w:p w14:paraId="6E3AB35C">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10、分组竞争游戏：支持创建分组竞争游戏，教师可设置正确项／干扰项，让两组学生开展竞争游戏。提供不少于3种难度.10种游戏模版供选择，且模版样式支持自定义修改。支持记录和展示学生作答结果，便于课堂知识点对比讲解。</w:t>
            </w:r>
          </w:p>
          <w:p w14:paraId="392977F3">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11、课件背景：提供≥12种以上背景模板供用户选择，持自定义背景。</w:t>
            </w:r>
          </w:p>
          <w:p w14:paraId="456FD167">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★12、一键开课：教师可一键开课生成课程海报；学生扫描课程海报微信二维码即可加入直播课堂，无需额外安装APP。（投标时须提供国家认可的第三方检测机构出具的关于该功能检测报告复印件）</w:t>
            </w:r>
          </w:p>
          <w:p w14:paraId="6562DF92">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13、剪辑重录：支持按照课件页面片段剪辑和重录微课，支持一键上传至云端保存。</w:t>
            </w:r>
          </w:p>
          <w:p w14:paraId="2F798A70">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14、AI智能英语工具：</w:t>
            </w:r>
          </w:p>
          <w:p w14:paraId="64F23AB7">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（1）软件内置的AI智能语义分析模块，可对输入的英文文本的拼写.句型.语法进行错误检查，并支持一键纠错。</w:t>
            </w:r>
          </w:p>
          <w:p w14:paraId="64ABA2BA">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英汉字典：支持输入英文单词生成单词卡和详解页，包含单词的释义.读音.例句.词组.近义词等，可插入多个单词卡，同时支持教师自定义编辑单词释义.创建未收录的生僻单词供授课使用。可将插入的单词卡一键切换至详解页进入单词详解模式，支持教师自定义编辑单词释义.例句.词组和近义词，且提供不少于5种详解页背景模板供选择。</w:t>
            </w:r>
          </w:p>
          <w:p w14:paraId="23251F24">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★（3）AI音标助手：支持浏览和插入国际音标表，可直接点击发音，支持已整表和单个音标卡片插入。支持智能将字母.单词.句子转写为音标，并可一键插入到备课课件中形成文本</w:t>
            </w:r>
          </w:p>
          <w:p w14:paraId="01B0367A">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15、快捷抠图：即可在白板软件中对导入的图片进行快捷抠图.去背景，处理后的图片主体边缘没有明显毛边，可导出保存成PNG格式。</w:t>
            </w:r>
          </w:p>
          <w:p w14:paraId="427594E8">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★16、课程回放：课程结束后自动生成直播回放，报名课程的学生可反复学习；回放课程自动保存在云端，支持人工删除。（投标时须提供国家认可的第三方检测机构出具的关于该功能检测报告复印件）</w:t>
            </w:r>
          </w:p>
          <w:p w14:paraId="266DD5BE">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17、数学公式编辑器：支持复杂数学公式输入，提供≥20个数学符号及和≥15种公式模板，输出的公式内容支持不同颜色标记及二次编辑。</w:t>
            </w:r>
          </w:p>
          <w:p w14:paraId="0825B093">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★18、混合教学功能：</w:t>
            </w:r>
          </w:p>
          <w:p w14:paraId="55DCD8D3">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（1）一键开课：教师可在教室一体机一键开课，开课将进入屏幕共享推流模式。</w:t>
            </w:r>
          </w:p>
          <w:p w14:paraId="714ED845">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（2）课程分发：支持生成课程海报，学生扫描课程海报微信二维码即可加入直播课堂。支持通过行政班级学生名单</w:t>
            </w:r>
          </w:p>
          <w:p w14:paraId="0263C8EB">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（3）提前预约：在个人电脑提前选择好行政班的学生，到教室后开始直播学生可在手机端远程听课</w:t>
            </w:r>
          </w:p>
          <w:p w14:paraId="530941FB">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4）连麦互动：在直播课堂中，教师可指定授权学生远程连麦互动，学生视频连麦过程实时同步至班级其他学生，可支持不少于3位学生同时参与远程互动；支持学生端发起举手，教师端在同意后可自动进入连麦互动。</w:t>
            </w:r>
          </w:p>
          <w:p w14:paraId="501AFB79">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九、教学PPT小工具</w:t>
            </w:r>
          </w:p>
          <w:p w14:paraId="4C9BEFD4">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1、不借助其他软件情况下，播放PPT时即可实现书写、擦除功能；可支持课件所有页面的预览、可随意进行页面跳转和实现上下翻页。</w:t>
            </w:r>
          </w:p>
          <w:p w14:paraId="5782E7FF">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2、不借助其他软件情况下，播放PPT时即可支持板中板功能，直接调用板中板辅助教学，可实现批注及加页，不影响课件整体内容。</w:t>
            </w:r>
          </w:p>
          <w:p w14:paraId="59F27EF9">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14:paraId="65418AB7">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4、不借助其他软件情况下，播放PPT时即可调用放大镜、聚光灯小工具辅助教学。</w:t>
            </w:r>
          </w:p>
          <w:p w14:paraId="292564BB">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十、产品售后保障服务</w:t>
            </w:r>
          </w:p>
          <w:p w14:paraId="51145977">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1、全国24小时免费400电话保修、二维码扫描保修、区域化驻地技术工程师专线保修。</w:t>
            </w:r>
          </w:p>
          <w:p w14:paraId="38711324">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2、微信售后报修服务：快速输入相关问题及所在区域进行在线保修，贴心服务人员实时在线提供客服专线报修，更好更快的解决售后故障问题带来的使用不便。</w:t>
            </w:r>
          </w:p>
          <w:p w14:paraId="13E8C5AD">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3、微信问题查询服务：提供八大模块的问题查询及解决方案，现场完成简单故障的快速修复指导。</w:t>
            </w:r>
          </w:p>
          <w:p w14:paraId="30949966">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★十一、配套：</w:t>
            </w:r>
          </w:p>
          <w:p w14:paraId="0F087804">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1、配原厂活动支架（四轮），最大承重：150KG,尺寸：1300*650*1610mm。</w:t>
            </w:r>
          </w:p>
          <w:p w14:paraId="7830364C">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配集控管理平台软件，系统采用B/S混合云架构设计，支持在Windows、Linux、Android、IOS等多种操作系统通过网页浏览器登录使用，通过后台平台中心实现设备精准管理、实时反馈、智慧锁屏、信息发布、远程控制、音视频直播、流量监管、数据分析等功能。</w:t>
            </w:r>
          </w:p>
          <w:p w14:paraId="0451AF4B">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3、配原品牌无线传屏器1套，跨平台传屏，实现电脑、笔记本电脑、手机等设备一键投屏，实现多屏互动。</w:t>
            </w:r>
          </w:p>
          <w:p w14:paraId="27D92F1D">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★十二、其他要求</w:t>
            </w:r>
          </w:p>
          <w:p w14:paraId="428B90F4">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1、原厂保修三年，为确保货物质量及原厂品质，中标供应商在正式供货时必须提供生产厂家针对此项目的售后服务保证原件、供货证明原件，否则采购方将不予验收通过。</w:t>
            </w:r>
          </w:p>
        </w:tc>
      </w:tr>
      <w:tr w14:paraId="3E49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jc w:val="center"/>
        </w:trPr>
        <w:tc>
          <w:tcPr>
            <w:tcW w:w="1639" w:type="dxa"/>
            <w:noWrap w:val="0"/>
            <w:vAlign w:val="center"/>
          </w:tcPr>
          <w:p w14:paraId="54F6F923">
            <w:pPr>
              <w:keepNext w:val="0"/>
              <w:keepLines w:val="0"/>
              <w:suppressLineNumbers w:val="0"/>
              <w:spacing w:before="0" w:beforeAutospacing="0" w:after="0" w:afterAutospacing="0"/>
              <w:ind w:left="0" w:right="0"/>
              <w:jc w:val="center"/>
              <w:rPr>
                <w:rFonts w:hint="eastAsia" w:ascii="Times New Roman" w:hAnsi="Times New Roman" w:cs="Times New Roman"/>
                <w:highlight w:val="none"/>
              </w:rPr>
            </w:pPr>
            <w:r>
              <w:rPr>
                <w:rFonts w:hint="eastAsia" w:ascii="Times New Roman" w:hAnsi="Times New Roman" w:cs="Times New Roman"/>
                <w:highlight w:val="none"/>
              </w:rPr>
              <w:t>立柜式空调</w:t>
            </w:r>
          </w:p>
        </w:tc>
        <w:tc>
          <w:tcPr>
            <w:tcW w:w="8391" w:type="dxa"/>
            <w:noWrap w:val="0"/>
            <w:vAlign w:val="center"/>
          </w:tcPr>
          <w:p w14:paraId="40A151BB">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操控方式：键控/遥控，APP操控</w:t>
            </w:r>
          </w:p>
          <w:p w14:paraId="18ADCD80">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能效等级：一级能效</w:t>
            </w:r>
          </w:p>
          <w:p w14:paraId="0615CFEA">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变频/定频：变频</w:t>
            </w:r>
          </w:p>
          <w:p w14:paraId="561C85C2">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类型：立柜式</w:t>
            </w:r>
          </w:p>
          <w:p w14:paraId="4236AE10">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冷暖类型：冷暖</w:t>
            </w:r>
          </w:p>
          <w:p w14:paraId="06230EAB">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功能：智能调节，自清洁，独立除湿</w:t>
            </w:r>
          </w:p>
          <w:p w14:paraId="6B675AE4">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匹数：3匹</w:t>
            </w:r>
          </w:p>
          <w:p w14:paraId="0F3834C9">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适用面积：30-40㎡</w:t>
            </w:r>
          </w:p>
          <w:p w14:paraId="6094C41B">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能效比：≥4.6</w:t>
            </w:r>
          </w:p>
          <w:p w14:paraId="49023EEC">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制热功率：≥2800W</w:t>
            </w:r>
          </w:p>
          <w:p w14:paraId="7839872F">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制冷功率：≥1900W</w:t>
            </w:r>
          </w:p>
          <w:p w14:paraId="6DDE4F87">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内机最大噪音：≤47dB(A)</w:t>
            </w:r>
          </w:p>
          <w:p w14:paraId="025BCE0A">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外机最大噪音：≤56dB(A)</w:t>
            </w:r>
          </w:p>
          <w:p w14:paraId="46364AC2">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循环风量：≥1800m3/h</w:t>
            </w:r>
          </w:p>
          <w:p w14:paraId="512FACBE">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扫风方式：上下/左右扫风</w:t>
            </w:r>
          </w:p>
          <w:p w14:paraId="631EE030">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制热量：≥9800W</w:t>
            </w:r>
          </w:p>
          <w:p w14:paraId="1DE684AD">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制冷量：≥7300W</w:t>
            </w:r>
          </w:p>
        </w:tc>
      </w:tr>
    </w:tbl>
    <w:p w14:paraId="7399CCC6">
      <w:pPr>
        <w:spacing w:line="360" w:lineRule="auto"/>
        <w:ind w:right="1280"/>
        <w:rPr>
          <w:rFonts w:hint="eastAsia" w:ascii="黑体" w:hAnsi="黑体" w:eastAsia="黑体" w:cs="黑体"/>
          <w:b/>
          <w:sz w:val="44"/>
          <w:szCs w:val="44"/>
        </w:rPr>
      </w:pPr>
      <w:r>
        <w:rPr>
          <w:rFonts w:hint="eastAsia" w:ascii="宋体" w:hAnsi="宋体" w:cs="宋体"/>
          <w:sz w:val="32"/>
          <w:szCs w:val="32"/>
        </w:rPr>
        <w:br w:type="page"/>
      </w:r>
      <w:bookmarkEnd w:id="0"/>
      <w:bookmarkStart w:id="1" w:name="_Toc325464813"/>
      <w:r>
        <w:rPr>
          <w:rFonts w:hint="eastAsia" w:ascii="黑体" w:hAnsi="黑体" w:eastAsia="黑体" w:cs="黑体"/>
          <w:b/>
          <w:sz w:val="44"/>
          <w:szCs w:val="44"/>
        </w:rPr>
        <w:t>第二章  询价须知</w:t>
      </w:r>
      <w:bookmarkEnd w:id="1"/>
      <w:bookmarkStart w:id="2" w:name="_Toc184283909"/>
      <w:bookmarkStart w:id="3" w:name="_Toc184274915"/>
    </w:p>
    <w:bookmarkEnd w:id="2"/>
    <w:bookmarkEnd w:id="3"/>
    <w:tbl>
      <w:tblPr>
        <w:tblStyle w:val="16"/>
        <w:tblpPr w:leftFromText="180" w:rightFromText="180" w:vertAnchor="text" w:horzAnchor="page" w:tblpXSpec="center" w:tblpY="272"/>
        <w:tblOverlap w:val="never"/>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23"/>
        <w:gridCol w:w="2375"/>
        <w:gridCol w:w="6221"/>
      </w:tblGrid>
      <w:tr w14:paraId="6A42FD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5" w:hRule="atLeast"/>
          <w:tblHeader/>
          <w:jc w:val="center"/>
        </w:trPr>
        <w:tc>
          <w:tcPr>
            <w:tcW w:w="1023" w:type="dxa"/>
            <w:noWrap w:val="0"/>
            <w:vAlign w:val="center"/>
          </w:tcPr>
          <w:p w14:paraId="0BAF5AE9">
            <w:pPr>
              <w:keepNext w:val="0"/>
              <w:keepLines w:val="0"/>
              <w:suppressLineNumbers w:val="0"/>
              <w:spacing w:before="0" w:beforeAutospacing="0" w:after="0" w:afterAutospacing="0"/>
              <w:ind w:left="0" w:right="0"/>
              <w:jc w:val="center"/>
              <w:rPr>
                <w:rFonts w:hint="default" w:ascii="宋体" w:hAnsi="宋体" w:cs="宋体"/>
                <w:b/>
                <w:sz w:val="24"/>
              </w:rPr>
            </w:pPr>
            <w:bookmarkStart w:id="4" w:name="_Toc89075873"/>
            <w:bookmarkStart w:id="5" w:name="_Toc77400778"/>
            <w:bookmarkStart w:id="6" w:name="_Toc183582204"/>
            <w:bookmarkStart w:id="7" w:name="_Toc217446033"/>
            <w:bookmarkStart w:id="8" w:name="_Toc183682341"/>
            <w:r>
              <w:rPr>
                <w:rFonts w:hint="eastAsia" w:ascii="宋体" w:hAnsi="宋体" w:cs="宋体"/>
                <w:b/>
                <w:sz w:val="24"/>
              </w:rPr>
              <w:t>序号</w:t>
            </w:r>
          </w:p>
        </w:tc>
        <w:tc>
          <w:tcPr>
            <w:tcW w:w="2375" w:type="dxa"/>
            <w:noWrap w:val="0"/>
            <w:vAlign w:val="center"/>
          </w:tcPr>
          <w:p w14:paraId="6E76F0D1">
            <w:pPr>
              <w:keepNext w:val="0"/>
              <w:keepLines w:val="0"/>
              <w:suppressLineNumbers w:val="0"/>
              <w:spacing w:before="0" w:beforeAutospacing="0" w:after="0" w:afterAutospacing="0"/>
              <w:ind w:left="0" w:right="0"/>
              <w:jc w:val="center"/>
              <w:rPr>
                <w:rFonts w:hint="default" w:ascii="宋体" w:hAnsi="宋体" w:cs="宋体"/>
                <w:b/>
                <w:sz w:val="24"/>
              </w:rPr>
            </w:pPr>
            <w:r>
              <w:rPr>
                <w:rFonts w:hint="eastAsia" w:ascii="宋体" w:hAnsi="宋体" w:cs="宋体"/>
                <w:b/>
                <w:sz w:val="24"/>
              </w:rPr>
              <w:t>条款名称</w:t>
            </w:r>
          </w:p>
        </w:tc>
        <w:tc>
          <w:tcPr>
            <w:tcW w:w="6221" w:type="dxa"/>
            <w:noWrap w:val="0"/>
            <w:vAlign w:val="center"/>
          </w:tcPr>
          <w:p w14:paraId="144EF20E">
            <w:pPr>
              <w:keepNext w:val="0"/>
              <w:keepLines w:val="0"/>
              <w:suppressLineNumbers w:val="0"/>
              <w:spacing w:before="0" w:beforeAutospacing="0" w:after="0" w:afterAutospacing="0"/>
              <w:ind w:left="0" w:right="0"/>
              <w:jc w:val="center"/>
              <w:rPr>
                <w:rFonts w:hint="default" w:ascii="宋体" w:hAnsi="宋体" w:cs="宋体"/>
                <w:b/>
                <w:sz w:val="24"/>
              </w:rPr>
            </w:pPr>
            <w:r>
              <w:rPr>
                <w:rFonts w:hint="eastAsia" w:ascii="宋体" w:hAnsi="宋体" w:cs="宋体"/>
                <w:b/>
                <w:sz w:val="24"/>
              </w:rPr>
              <w:t>说明和要求</w:t>
            </w:r>
          </w:p>
        </w:tc>
      </w:tr>
      <w:tr w14:paraId="39785B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1A68FC5">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1</w:t>
            </w:r>
          </w:p>
        </w:tc>
        <w:tc>
          <w:tcPr>
            <w:tcW w:w="2375" w:type="dxa"/>
            <w:noWrap w:val="0"/>
            <w:vAlign w:val="center"/>
          </w:tcPr>
          <w:p w14:paraId="3EDD8BC7">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采购人</w:t>
            </w:r>
          </w:p>
        </w:tc>
        <w:tc>
          <w:tcPr>
            <w:tcW w:w="6221" w:type="dxa"/>
            <w:noWrap w:val="0"/>
            <w:vAlign w:val="center"/>
          </w:tcPr>
          <w:p w14:paraId="4EC813B2">
            <w:pPr>
              <w:keepNext w:val="0"/>
              <w:keepLines w:val="0"/>
              <w:suppressLineNumbers w:val="0"/>
              <w:spacing w:before="0" w:beforeAutospacing="0" w:after="0" w:afterAutospacing="0" w:line="360" w:lineRule="auto"/>
              <w:ind w:left="0" w:right="0"/>
              <w:jc w:val="left"/>
              <w:rPr>
                <w:rFonts w:hint="eastAsia" w:ascii="宋体" w:hAnsi="宋体" w:cs="宋体"/>
                <w:sz w:val="24"/>
                <w:u w:val="single"/>
              </w:rPr>
            </w:pPr>
            <w:r>
              <w:rPr>
                <w:rFonts w:hint="eastAsia" w:ascii="宋体" w:hAnsi="宋体" w:cs="宋体"/>
                <w:sz w:val="24"/>
              </w:rPr>
              <w:t>名  称：</w:t>
            </w:r>
            <w:r>
              <w:rPr>
                <w:rFonts w:hint="eastAsia" w:ascii="宋体" w:hAnsi="宋体" w:cs="宋体"/>
                <w:sz w:val="24"/>
                <w:u w:val="single"/>
              </w:rPr>
              <w:t xml:space="preserve">  广西交通技师学院</w:t>
            </w:r>
          </w:p>
          <w:p w14:paraId="554CFB6F">
            <w:pPr>
              <w:keepNext w:val="0"/>
              <w:keepLines w:val="0"/>
              <w:suppressLineNumbers w:val="0"/>
              <w:spacing w:before="0" w:beforeAutospacing="0" w:after="0" w:afterAutospacing="0" w:line="360" w:lineRule="auto"/>
              <w:ind w:left="0" w:right="0"/>
              <w:jc w:val="left"/>
              <w:rPr>
                <w:rFonts w:hint="default" w:ascii="宋体" w:hAnsi="宋体" w:cs="宋体"/>
                <w:sz w:val="24"/>
              </w:rPr>
            </w:pPr>
            <w:r>
              <w:rPr>
                <w:rFonts w:hint="eastAsia" w:ascii="宋体" w:hAnsi="宋体" w:cs="宋体"/>
                <w:sz w:val="24"/>
              </w:rPr>
              <w:t>地  址：</w:t>
            </w:r>
            <w:r>
              <w:rPr>
                <w:rFonts w:hint="eastAsia" w:ascii="宋体" w:hAnsi="宋体" w:cs="宋体"/>
                <w:sz w:val="24"/>
                <w:u w:val="single"/>
              </w:rPr>
              <w:t xml:space="preserve">  南宁市兴宁区邕武路9号</w:t>
            </w:r>
          </w:p>
        </w:tc>
      </w:tr>
      <w:tr w14:paraId="4D5244C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4E3AC250">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2</w:t>
            </w:r>
          </w:p>
        </w:tc>
        <w:tc>
          <w:tcPr>
            <w:tcW w:w="2375" w:type="dxa"/>
            <w:noWrap w:val="0"/>
            <w:vAlign w:val="center"/>
          </w:tcPr>
          <w:p w14:paraId="20E474D6">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采购项目名称</w:t>
            </w:r>
          </w:p>
        </w:tc>
        <w:tc>
          <w:tcPr>
            <w:tcW w:w="6221" w:type="dxa"/>
            <w:noWrap w:val="0"/>
            <w:vAlign w:val="center"/>
          </w:tcPr>
          <w:p w14:paraId="20A0D461">
            <w:pPr>
              <w:pStyle w:val="5"/>
              <w:keepNext w:val="0"/>
              <w:keepLines w:val="0"/>
              <w:suppressLineNumbers w:val="0"/>
              <w:spacing w:before="0" w:beforeAutospacing="0" w:afterAutospacing="0"/>
              <w:ind w:left="0" w:right="0"/>
              <w:jc w:val="center"/>
              <w:rPr>
                <w:rFonts w:hint="default" w:ascii="Times New Roman" w:hAnsi="Times New Roman"/>
              </w:rPr>
            </w:pPr>
            <w:r>
              <w:rPr>
                <w:rFonts w:hint="eastAsia" w:ascii="宋体" w:hAnsi="宋体" w:cs="宋体"/>
                <w:sz w:val="24"/>
              </w:rPr>
              <w:t>民用航空系交互智能平板一体机、立柜式空调</w:t>
            </w:r>
          </w:p>
        </w:tc>
      </w:tr>
      <w:tr w14:paraId="2FD4C2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8F10890">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3</w:t>
            </w:r>
          </w:p>
        </w:tc>
        <w:tc>
          <w:tcPr>
            <w:tcW w:w="2375" w:type="dxa"/>
            <w:noWrap w:val="0"/>
            <w:vAlign w:val="center"/>
          </w:tcPr>
          <w:p w14:paraId="0513E8A1">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预算金额</w:t>
            </w:r>
          </w:p>
        </w:tc>
        <w:tc>
          <w:tcPr>
            <w:tcW w:w="6221" w:type="dxa"/>
            <w:noWrap w:val="0"/>
            <w:vAlign w:val="center"/>
          </w:tcPr>
          <w:p w14:paraId="79700233">
            <w:pPr>
              <w:pStyle w:val="5"/>
              <w:keepNext w:val="0"/>
              <w:keepLines w:val="0"/>
              <w:suppressLineNumbers w:val="0"/>
              <w:spacing w:before="0" w:beforeAutospacing="0" w:afterAutospacing="0"/>
              <w:ind w:left="0" w:right="0" w:firstLine="240" w:firstLineChars="100"/>
              <w:jc w:val="center"/>
              <w:rPr>
                <w:rFonts w:hint="default" w:ascii="宋体" w:hAnsi="宋体" w:cs="宋体"/>
                <w:sz w:val="24"/>
                <w:highlight w:val="none"/>
              </w:rPr>
            </w:pPr>
            <w:r>
              <w:rPr>
                <w:rFonts w:hint="eastAsia" w:ascii="宋体" w:hAnsi="宋体" w:cs="宋体"/>
                <w:sz w:val="24"/>
                <w:highlight w:val="none"/>
                <w:lang w:val="en-US" w:eastAsia="zh-CN"/>
              </w:rPr>
              <w:t>48500</w:t>
            </w:r>
            <w:r>
              <w:rPr>
                <w:rFonts w:hint="eastAsia" w:ascii="宋体" w:hAnsi="宋体" w:cs="宋体"/>
                <w:sz w:val="24"/>
                <w:highlight w:val="none"/>
              </w:rPr>
              <w:t>元</w:t>
            </w:r>
          </w:p>
        </w:tc>
      </w:tr>
      <w:tr w14:paraId="22069B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AD3564E">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4</w:t>
            </w:r>
          </w:p>
        </w:tc>
        <w:tc>
          <w:tcPr>
            <w:tcW w:w="2375" w:type="dxa"/>
            <w:noWrap w:val="0"/>
            <w:vAlign w:val="center"/>
          </w:tcPr>
          <w:p w14:paraId="00D2E486">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资金来源</w:t>
            </w:r>
          </w:p>
        </w:tc>
        <w:tc>
          <w:tcPr>
            <w:tcW w:w="6221" w:type="dxa"/>
            <w:noWrap w:val="0"/>
            <w:vAlign w:val="center"/>
          </w:tcPr>
          <w:p w14:paraId="1E84A549">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部门年度预算</w:t>
            </w:r>
          </w:p>
        </w:tc>
      </w:tr>
      <w:tr w14:paraId="7E08CE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16ED60B">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5</w:t>
            </w:r>
          </w:p>
        </w:tc>
        <w:tc>
          <w:tcPr>
            <w:tcW w:w="2375" w:type="dxa"/>
            <w:noWrap w:val="0"/>
            <w:vAlign w:val="center"/>
          </w:tcPr>
          <w:p w14:paraId="07705DFA">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采购方式</w:t>
            </w:r>
          </w:p>
        </w:tc>
        <w:tc>
          <w:tcPr>
            <w:tcW w:w="6221" w:type="dxa"/>
            <w:noWrap w:val="0"/>
            <w:vAlign w:val="center"/>
          </w:tcPr>
          <w:p w14:paraId="7D7B0028">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询价，</w:t>
            </w:r>
            <w:r>
              <w:rPr>
                <w:rFonts w:hint="eastAsia" w:ascii="宋体" w:hAnsi="宋体" w:cs="宋体"/>
                <w:color w:val="auto"/>
                <w:sz w:val="24"/>
              </w:rPr>
              <w:t>政采云</w:t>
            </w:r>
            <w:r>
              <w:rPr>
                <w:rFonts w:hint="eastAsia" w:ascii="宋体" w:hAnsi="宋体" w:cs="宋体"/>
                <w:color w:val="auto"/>
                <w:sz w:val="24"/>
                <w:lang w:eastAsia="zh-CN"/>
              </w:rPr>
              <w:t>“</w:t>
            </w:r>
            <w:r>
              <w:rPr>
                <w:rFonts w:hint="eastAsia" w:ascii="宋体" w:hAnsi="宋体" w:cs="宋体"/>
                <w:color w:val="auto"/>
                <w:sz w:val="24"/>
              </w:rPr>
              <w:t>电子卖场</w:t>
            </w:r>
            <w:r>
              <w:rPr>
                <w:rFonts w:hint="eastAsia" w:ascii="宋体" w:hAnsi="宋体" w:cs="宋体"/>
                <w:color w:val="auto"/>
                <w:sz w:val="24"/>
                <w:lang w:val="en-US" w:eastAsia="zh-CN"/>
              </w:rPr>
              <w:t>-网上超市</w:t>
            </w:r>
            <w:r>
              <w:rPr>
                <w:rFonts w:hint="eastAsia" w:ascii="宋体" w:hAnsi="宋体" w:cs="宋体"/>
                <w:color w:val="auto"/>
                <w:sz w:val="24"/>
                <w:lang w:eastAsia="zh-CN"/>
              </w:rPr>
              <w:t>”</w:t>
            </w:r>
          </w:p>
        </w:tc>
      </w:tr>
      <w:tr w14:paraId="7ED15C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5B370034">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6</w:t>
            </w:r>
          </w:p>
        </w:tc>
        <w:tc>
          <w:tcPr>
            <w:tcW w:w="2375" w:type="dxa"/>
            <w:noWrap w:val="0"/>
            <w:vAlign w:val="center"/>
          </w:tcPr>
          <w:p w14:paraId="6FEF5789">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服务期限/供货周期</w:t>
            </w:r>
          </w:p>
        </w:tc>
        <w:tc>
          <w:tcPr>
            <w:tcW w:w="6221" w:type="dxa"/>
            <w:noWrap w:val="0"/>
            <w:vAlign w:val="center"/>
          </w:tcPr>
          <w:p w14:paraId="7352F3CE">
            <w:pPr>
              <w:keepNext w:val="0"/>
              <w:keepLines w:val="0"/>
              <w:suppressLineNumbers w:val="0"/>
              <w:spacing w:before="0" w:beforeAutospacing="0" w:after="0" w:afterAutospacing="0"/>
              <w:ind w:left="0" w:right="0" w:firstLine="240" w:firstLineChars="100"/>
              <w:jc w:val="left"/>
              <w:rPr>
                <w:rFonts w:hint="default" w:ascii="宋体" w:hAnsi="宋体" w:cs="宋体"/>
                <w:sz w:val="24"/>
                <w:highlight w:val="none"/>
              </w:rPr>
            </w:pPr>
            <w:r>
              <w:rPr>
                <w:rFonts w:hint="eastAsia" w:ascii="宋体" w:hAnsi="宋体" w:cs="宋体"/>
                <w:sz w:val="24"/>
                <w:highlight w:val="none"/>
              </w:rPr>
              <w:t>自合同签订之日起 15 工作日供货，售后期限</w:t>
            </w:r>
            <w:r>
              <w:rPr>
                <w:rFonts w:hint="eastAsia" w:ascii="宋体" w:hAnsi="宋体" w:cs="宋体"/>
                <w:sz w:val="24"/>
                <w:highlight w:val="none"/>
                <w:lang w:val="en-US" w:eastAsia="zh-CN"/>
              </w:rPr>
              <w:t>24</w:t>
            </w:r>
            <w:r>
              <w:rPr>
                <w:rFonts w:hint="eastAsia" w:ascii="宋体" w:hAnsi="宋体" w:cs="宋体"/>
                <w:sz w:val="24"/>
                <w:highlight w:val="none"/>
              </w:rPr>
              <w:t xml:space="preserve">月      </w:t>
            </w:r>
          </w:p>
        </w:tc>
      </w:tr>
      <w:tr w14:paraId="7EF28BD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034925E">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7</w:t>
            </w:r>
          </w:p>
        </w:tc>
        <w:tc>
          <w:tcPr>
            <w:tcW w:w="2375" w:type="dxa"/>
            <w:noWrap w:val="0"/>
            <w:vAlign w:val="center"/>
          </w:tcPr>
          <w:p w14:paraId="2BA7D6AF">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质量要求</w:t>
            </w:r>
          </w:p>
        </w:tc>
        <w:tc>
          <w:tcPr>
            <w:tcW w:w="6221" w:type="dxa"/>
            <w:noWrap w:val="0"/>
            <w:vAlign w:val="center"/>
          </w:tcPr>
          <w:p w14:paraId="6B5B51B4">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合格</w:t>
            </w:r>
          </w:p>
        </w:tc>
      </w:tr>
      <w:tr w14:paraId="594B46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39C96CFB">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8</w:t>
            </w:r>
          </w:p>
        </w:tc>
        <w:tc>
          <w:tcPr>
            <w:tcW w:w="2375" w:type="dxa"/>
            <w:noWrap w:val="0"/>
            <w:vAlign w:val="center"/>
          </w:tcPr>
          <w:p w14:paraId="4E464AAD">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联合体</w:t>
            </w:r>
          </w:p>
        </w:tc>
        <w:tc>
          <w:tcPr>
            <w:tcW w:w="6221" w:type="dxa"/>
            <w:noWrap w:val="0"/>
            <w:vAlign w:val="center"/>
          </w:tcPr>
          <w:p w14:paraId="702D1727">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 接受； ☑不接受</w:t>
            </w:r>
          </w:p>
        </w:tc>
      </w:tr>
      <w:tr w14:paraId="5F4A64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ACCCC03">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9</w:t>
            </w:r>
          </w:p>
        </w:tc>
        <w:tc>
          <w:tcPr>
            <w:tcW w:w="2375" w:type="dxa"/>
            <w:noWrap w:val="0"/>
            <w:vAlign w:val="center"/>
          </w:tcPr>
          <w:p w14:paraId="76DFDD37">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响应人对询价文件提出质疑的时间</w:t>
            </w:r>
          </w:p>
        </w:tc>
        <w:tc>
          <w:tcPr>
            <w:tcW w:w="6221" w:type="dxa"/>
            <w:noWrap w:val="0"/>
            <w:vAlign w:val="center"/>
          </w:tcPr>
          <w:p w14:paraId="3AC3B0D6">
            <w:pPr>
              <w:keepNext w:val="0"/>
              <w:keepLines w:val="0"/>
              <w:suppressLineNumbers w:val="0"/>
              <w:spacing w:before="0" w:beforeAutospacing="0" w:after="0" w:afterAutospacing="0"/>
              <w:ind w:left="0" w:right="0"/>
              <w:jc w:val="left"/>
              <w:rPr>
                <w:rFonts w:hint="default" w:ascii="宋体" w:hAnsi="宋体" w:cs="宋体"/>
                <w:sz w:val="24"/>
              </w:rPr>
            </w:pPr>
            <w:r>
              <w:rPr>
                <w:rFonts w:hint="eastAsia" w:ascii="宋体" w:hAnsi="宋体" w:cs="宋体"/>
                <w:sz w:val="24"/>
              </w:rPr>
              <w:t>自询价文件公布时间起的三个工作日内</w:t>
            </w:r>
          </w:p>
        </w:tc>
      </w:tr>
      <w:tr w14:paraId="622DD1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3625F23">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10</w:t>
            </w:r>
          </w:p>
        </w:tc>
        <w:tc>
          <w:tcPr>
            <w:tcW w:w="2375" w:type="dxa"/>
            <w:noWrap w:val="0"/>
            <w:vAlign w:val="center"/>
          </w:tcPr>
          <w:p w14:paraId="7C4E4E1E">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分包</w:t>
            </w:r>
          </w:p>
        </w:tc>
        <w:tc>
          <w:tcPr>
            <w:tcW w:w="6221" w:type="dxa"/>
            <w:noWrap w:val="0"/>
            <w:vAlign w:val="center"/>
          </w:tcPr>
          <w:p w14:paraId="4E789A31">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☑不允许； □允许</w:t>
            </w:r>
          </w:p>
        </w:tc>
      </w:tr>
      <w:tr w14:paraId="074E7D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3CFF8B9A">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11</w:t>
            </w:r>
          </w:p>
        </w:tc>
        <w:tc>
          <w:tcPr>
            <w:tcW w:w="2375" w:type="dxa"/>
            <w:noWrap w:val="0"/>
            <w:vAlign w:val="center"/>
          </w:tcPr>
          <w:p w14:paraId="0A8BF642">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构成询价文件的其他文件</w:t>
            </w:r>
          </w:p>
        </w:tc>
        <w:tc>
          <w:tcPr>
            <w:tcW w:w="6221" w:type="dxa"/>
            <w:noWrap w:val="0"/>
            <w:vAlign w:val="center"/>
          </w:tcPr>
          <w:p w14:paraId="1DDB1878">
            <w:pPr>
              <w:keepNext w:val="0"/>
              <w:keepLines w:val="0"/>
              <w:suppressLineNumbers w:val="0"/>
              <w:spacing w:before="0" w:beforeAutospacing="0" w:after="0" w:afterAutospacing="0"/>
              <w:ind w:left="0" w:right="0"/>
              <w:jc w:val="left"/>
              <w:rPr>
                <w:rFonts w:hint="default" w:ascii="宋体" w:hAnsi="宋体" w:cs="宋体"/>
                <w:sz w:val="24"/>
              </w:rPr>
            </w:pPr>
            <w:r>
              <w:rPr>
                <w:rFonts w:hint="eastAsia" w:ascii="宋体" w:hAnsi="宋体" w:cs="宋体"/>
                <w:sz w:val="24"/>
              </w:rPr>
              <w:t>询价文件的澄清、修改书及有关补充通知为询价文件的有效组成部分</w:t>
            </w:r>
          </w:p>
        </w:tc>
      </w:tr>
      <w:tr w14:paraId="18550A0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781E85B9">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12</w:t>
            </w:r>
          </w:p>
        </w:tc>
        <w:tc>
          <w:tcPr>
            <w:tcW w:w="2375" w:type="dxa"/>
            <w:noWrap w:val="0"/>
            <w:vAlign w:val="center"/>
          </w:tcPr>
          <w:p w14:paraId="27F0EFF9">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询价响应文件份数</w:t>
            </w:r>
          </w:p>
        </w:tc>
        <w:tc>
          <w:tcPr>
            <w:tcW w:w="6221" w:type="dxa"/>
            <w:noWrap w:val="0"/>
            <w:vAlign w:val="center"/>
          </w:tcPr>
          <w:p w14:paraId="087E18F4">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u w:val="single"/>
              </w:rPr>
              <w:t xml:space="preserve">2 </w:t>
            </w:r>
            <w:r>
              <w:rPr>
                <w:rFonts w:hint="eastAsia" w:ascii="宋体" w:hAnsi="宋体" w:cs="宋体"/>
                <w:sz w:val="24"/>
              </w:rPr>
              <w:t>份</w:t>
            </w:r>
          </w:p>
        </w:tc>
      </w:tr>
    </w:tbl>
    <w:p w14:paraId="6280329F">
      <w:pPr>
        <w:jc w:val="center"/>
        <w:rPr>
          <w:rFonts w:ascii="宋体" w:hAnsi="宋体" w:cs="宋体"/>
          <w:b/>
          <w:szCs w:val="20"/>
        </w:rPr>
      </w:pPr>
    </w:p>
    <w:bookmarkEnd w:id="4"/>
    <w:bookmarkEnd w:id="5"/>
    <w:bookmarkEnd w:id="6"/>
    <w:bookmarkEnd w:id="7"/>
    <w:bookmarkEnd w:id="8"/>
    <w:p w14:paraId="6E1469B2">
      <w:pPr>
        <w:ind w:firstLine="480" w:firstLineChars="200"/>
        <w:jc w:val="left"/>
        <w:rPr>
          <w:rFonts w:ascii="宋体" w:hAnsi="宋体"/>
          <w:sz w:val="24"/>
        </w:rPr>
        <w:sectPr>
          <w:footerReference r:id="rId3" w:type="default"/>
          <w:footerReference r:id="rId4" w:type="even"/>
          <w:pgSz w:w="11906" w:h="16838"/>
          <w:pgMar w:top="1100" w:right="896" w:bottom="1134" w:left="896" w:header="851" w:footer="594" w:gutter="0"/>
          <w:cols w:space="720" w:num="1"/>
          <w:docGrid w:linePitch="312" w:charSpace="0"/>
        </w:sectPr>
      </w:pPr>
    </w:p>
    <w:p w14:paraId="683C2758">
      <w:pPr>
        <w:keepNext/>
        <w:keepLines/>
        <w:spacing w:before="260" w:after="260"/>
        <w:outlineLvl w:val="1"/>
        <w:rPr>
          <w:rFonts w:hint="eastAsia" w:ascii="黑体" w:hAnsi="黑体" w:eastAsia="黑体" w:cs="黑体"/>
          <w:b/>
          <w:sz w:val="44"/>
          <w:szCs w:val="44"/>
        </w:rPr>
      </w:pPr>
      <w:r>
        <w:rPr>
          <w:rFonts w:hint="eastAsia" w:ascii="黑体" w:hAnsi="黑体" w:eastAsia="黑体" w:cs="黑体"/>
          <w:b/>
          <w:sz w:val="44"/>
          <w:szCs w:val="44"/>
        </w:rPr>
        <w:t>第三章  合同条款及格式</w:t>
      </w:r>
    </w:p>
    <w:p w14:paraId="6BA7B9C6">
      <w:pPr>
        <w:pStyle w:val="5"/>
        <w:spacing w:before="146"/>
        <w:jc w:val="center"/>
        <w:outlineLvl w:val="0"/>
        <w:rPr>
          <w:b/>
          <w:bCs/>
          <w:spacing w:val="1"/>
          <w:sz w:val="34"/>
          <w:szCs w:val="34"/>
        </w:rPr>
      </w:pPr>
      <w:r>
        <w:rPr>
          <w:b/>
          <w:bCs/>
          <w:spacing w:val="1"/>
          <w:sz w:val="34"/>
          <w:szCs w:val="34"/>
        </w:rPr>
        <w:t>广西壮族自治区政府采购网上超市合同</w:t>
      </w:r>
    </w:p>
    <w:p w14:paraId="135755F2">
      <w:pPr>
        <w:pStyle w:val="27"/>
        <w:jc w:val="center"/>
        <w:rPr>
          <w:rFonts w:hint="eastAsia"/>
          <w:bCs/>
          <w:spacing w:val="20"/>
          <w:kern w:val="44"/>
          <w:sz w:val="28"/>
          <w:szCs w:val="28"/>
        </w:rPr>
      </w:pPr>
      <w:r>
        <w:rPr>
          <w:rFonts w:hint="eastAsia"/>
          <w:bCs/>
          <w:spacing w:val="20"/>
          <w:kern w:val="44"/>
          <w:sz w:val="28"/>
          <w:szCs w:val="28"/>
        </w:rPr>
        <w:t>(政采云系统自动生成合同模板，增加部分条款)</w:t>
      </w:r>
    </w:p>
    <w:p w14:paraId="468569D4">
      <w:pPr>
        <w:pStyle w:val="5"/>
        <w:spacing w:before="146" w:line="184" w:lineRule="auto"/>
        <w:jc w:val="center"/>
        <w:outlineLvl w:val="0"/>
        <w:rPr>
          <w:b/>
          <w:bCs/>
          <w:spacing w:val="1"/>
          <w:sz w:val="34"/>
          <w:szCs w:val="34"/>
        </w:rPr>
      </w:pPr>
    </w:p>
    <w:p w14:paraId="123E3936">
      <w:pPr>
        <w:pStyle w:val="5"/>
        <w:spacing w:before="252"/>
        <w:jc w:val="center"/>
        <w:rPr>
          <w:rFonts w:ascii="宋体" w:hAnsi="宋体" w:cs="宋体"/>
          <w:sz w:val="24"/>
          <w:u w:val="single"/>
        </w:rPr>
      </w:pPr>
      <w:r>
        <w:rPr>
          <w:rFonts w:hint="eastAsia" w:ascii="宋体" w:hAnsi="宋体" w:cs="宋体"/>
          <w:b/>
          <w:bCs/>
          <w:spacing w:val="-9"/>
          <w:sz w:val="24"/>
        </w:rPr>
        <w:t xml:space="preserve">                                             合同编号：</w:t>
      </w:r>
      <w:r>
        <w:rPr>
          <w:rFonts w:hint="eastAsia" w:ascii="宋体" w:hAnsi="宋体" w:cs="宋体"/>
          <w:b/>
          <w:bCs/>
          <w:spacing w:val="-9"/>
          <w:sz w:val="24"/>
          <w:u w:val="single"/>
        </w:rPr>
        <w:t xml:space="preserve">               </w:t>
      </w:r>
    </w:p>
    <w:p w14:paraId="1A87DAF4">
      <w:pPr>
        <w:pStyle w:val="5"/>
        <w:spacing w:before="30"/>
        <w:ind w:left="400"/>
        <w:rPr>
          <w:rFonts w:hint="eastAsia" w:ascii="宋体" w:hAnsi="宋体" w:cs="宋体"/>
          <w:sz w:val="24"/>
        </w:rPr>
      </w:pPr>
      <w:r>
        <w:rPr>
          <w:rFonts w:hint="eastAsia" w:ascii="宋体" w:hAnsi="宋体" w:cs="宋体"/>
          <w:b/>
          <w:bCs/>
          <w:spacing w:val="-2"/>
          <w:sz w:val="24"/>
        </w:rPr>
        <w:t>采购单位（甲方）：</w:t>
      </w:r>
      <w:r>
        <w:rPr>
          <w:rFonts w:hint="eastAsia" w:ascii="宋体" w:hAnsi="宋体" w:cs="宋体"/>
          <w:b/>
          <w:bCs/>
          <w:spacing w:val="4"/>
          <w:sz w:val="24"/>
        </w:rPr>
        <w:t xml:space="preserve">    </w:t>
      </w:r>
      <w:r>
        <w:rPr>
          <w:rFonts w:hint="eastAsia" w:ascii="宋体" w:hAnsi="宋体" w:cs="宋体"/>
          <w:b/>
          <w:bCs/>
          <w:spacing w:val="-2"/>
          <w:sz w:val="24"/>
        </w:rPr>
        <w:t>广西交通技师学院</w:t>
      </w:r>
    </w:p>
    <w:p w14:paraId="6B593BCE">
      <w:pPr>
        <w:pStyle w:val="5"/>
        <w:spacing w:before="29"/>
        <w:ind w:left="401"/>
        <w:rPr>
          <w:rFonts w:hint="eastAsia" w:ascii="宋体" w:hAnsi="宋体" w:cs="宋体"/>
          <w:sz w:val="24"/>
          <w:u w:val="single"/>
        </w:rPr>
      </w:pPr>
      <w:r>
        <w:rPr>
          <w:rFonts w:hint="eastAsia" w:ascii="宋体" w:hAnsi="宋体" w:cs="宋体"/>
          <w:b/>
          <w:bCs/>
          <w:sz w:val="24"/>
        </w:rPr>
        <w:t>供货商（乙方</w:t>
      </w:r>
      <w:r>
        <w:rPr>
          <w:rFonts w:hint="eastAsia" w:ascii="宋体" w:hAnsi="宋体" w:cs="宋体"/>
          <w:b/>
          <w:bCs/>
          <w:spacing w:val="-3"/>
          <w:sz w:val="24"/>
        </w:rPr>
        <w:t>）：</w:t>
      </w:r>
      <w:r>
        <w:rPr>
          <w:rFonts w:hint="eastAsia" w:ascii="宋体" w:hAnsi="宋体" w:cs="宋体"/>
          <w:b/>
          <w:bCs/>
          <w:spacing w:val="6"/>
          <w:sz w:val="24"/>
          <w:u w:val="single"/>
        </w:rPr>
        <w:t xml:space="preserve">   </w:t>
      </w:r>
    </w:p>
    <w:p w14:paraId="227DDD1F">
      <w:pPr>
        <w:pStyle w:val="5"/>
        <w:spacing w:before="261"/>
        <w:ind w:right="249" w:firstLine="496" w:firstLineChars="200"/>
        <w:rPr>
          <w:rFonts w:hint="eastAsia" w:ascii="宋体" w:hAnsi="宋体" w:cs="宋体"/>
          <w:sz w:val="24"/>
        </w:rPr>
      </w:pPr>
      <w:r>
        <w:rPr>
          <w:rFonts w:hint="eastAsia" w:ascii="宋体" w:hAnsi="宋体" w:cs="宋体"/>
          <w:spacing w:val="4"/>
          <w:sz w:val="24"/>
        </w:rPr>
        <w:t>为了保护甲乙双方合法权益，根据《中华人民共和国政府采购法》、《中华人民共和国民法典》相关法律法规以及广西壮族自治区 广西壮族自治区预算单位“政采云”电子卖场网上超市一张网供应商征集入围项目-</w:t>
      </w:r>
      <w:r>
        <w:rPr>
          <w:rFonts w:hint="eastAsia" w:ascii="宋体" w:hAnsi="宋体" w:cs="宋体"/>
          <w:spacing w:val="4"/>
          <w:sz w:val="24"/>
          <w:u w:val="single"/>
        </w:rPr>
        <w:t xml:space="preserve">                   </w:t>
      </w:r>
      <w:r>
        <w:rPr>
          <w:rFonts w:hint="eastAsia" w:ascii="宋体" w:hAnsi="宋体" w:cs="宋体"/>
          <w:spacing w:val="4"/>
          <w:sz w:val="24"/>
        </w:rPr>
        <w:t xml:space="preserve">  网上超市项目招标文</w:t>
      </w:r>
      <w:r>
        <w:rPr>
          <w:rFonts w:hint="eastAsia" w:ascii="宋体" w:hAnsi="宋体" w:cs="宋体"/>
          <w:spacing w:val="3"/>
          <w:sz w:val="24"/>
        </w:rPr>
        <w:t>件、中标供</w:t>
      </w:r>
      <w:r>
        <w:rPr>
          <w:rFonts w:hint="eastAsia" w:ascii="宋体" w:hAnsi="宋体" w:cs="宋体"/>
          <w:spacing w:val="4"/>
          <w:sz w:val="24"/>
        </w:rPr>
        <w:t>应商的投标文件、广西壮族自治区  广西壮族自治区预算单位“政采云”电子卖场网上超市一张网供应商征集入围项目-</w:t>
      </w:r>
      <w:r>
        <w:rPr>
          <w:rFonts w:hint="eastAsia" w:ascii="宋体" w:hAnsi="宋体" w:cs="宋体"/>
          <w:spacing w:val="4"/>
          <w:sz w:val="24"/>
          <w:u w:val="single"/>
        </w:rPr>
        <w:t xml:space="preserve">              </w:t>
      </w:r>
      <w:r>
        <w:rPr>
          <w:rFonts w:hint="eastAsia" w:ascii="宋体" w:hAnsi="宋体" w:cs="宋体"/>
          <w:spacing w:val="3"/>
          <w:sz w:val="24"/>
        </w:rPr>
        <w:t>电子卖场（网上超市）项目协议书和承诺书，签署本合同，以资共同遵守。</w:t>
      </w:r>
    </w:p>
    <w:p w14:paraId="7B0C957F">
      <w:pPr>
        <w:pStyle w:val="5"/>
        <w:spacing w:before="262"/>
        <w:ind w:left="403"/>
        <w:rPr>
          <w:rFonts w:hint="eastAsia" w:ascii="宋体" w:hAnsi="宋体" w:cs="宋体"/>
          <w:sz w:val="24"/>
        </w:rPr>
      </w:pPr>
      <w:r>
        <w:rPr>
          <w:rFonts w:hint="eastAsia" w:ascii="宋体" w:hAnsi="宋体" w:cs="宋体"/>
          <w:b/>
          <w:bCs/>
          <w:spacing w:val="2"/>
          <w:sz w:val="24"/>
        </w:rPr>
        <w:t>一、采购标的</w:t>
      </w:r>
    </w:p>
    <w:p w14:paraId="7F7F4D01">
      <w:pPr>
        <w:pStyle w:val="5"/>
        <w:spacing w:before="31"/>
        <w:jc w:val="right"/>
        <w:rPr>
          <w:rFonts w:hint="eastAsia" w:ascii="宋体" w:hAnsi="宋体" w:cs="宋体"/>
          <w:sz w:val="24"/>
        </w:rPr>
      </w:pPr>
      <w:r>
        <w:rPr>
          <w:rFonts w:hint="eastAsia" w:ascii="宋体" w:hAnsi="宋体" w:cs="宋体"/>
          <w:spacing w:val="4"/>
          <w:sz w:val="24"/>
        </w:rPr>
        <w:t>金额单位：元</w:t>
      </w:r>
    </w:p>
    <w:tbl>
      <w:tblPr>
        <w:tblStyle w:val="16"/>
        <w:tblW w:w="10455"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825"/>
        <w:gridCol w:w="1656"/>
        <w:gridCol w:w="1196"/>
        <w:gridCol w:w="925"/>
        <w:gridCol w:w="925"/>
        <w:gridCol w:w="1549"/>
        <w:gridCol w:w="1237"/>
        <w:gridCol w:w="925"/>
        <w:gridCol w:w="1217"/>
      </w:tblGrid>
      <w:tr w14:paraId="46B6B37D">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579" w:hRule="atLeast"/>
          <w:jc w:val="center"/>
        </w:trPr>
        <w:tc>
          <w:tcPr>
            <w:tcW w:w="825" w:type="dxa"/>
            <w:noWrap w:val="0"/>
            <w:vAlign w:val="center"/>
          </w:tcPr>
          <w:p w14:paraId="66C7BEFF">
            <w:pPr>
              <w:pStyle w:val="33"/>
              <w:keepNext w:val="0"/>
              <w:keepLines w:val="0"/>
              <w:suppressLineNumbers w:val="0"/>
              <w:spacing w:before="152" w:beforeAutospacing="0" w:after="0" w:afterAutospacing="0"/>
              <w:ind w:left="100" w:right="0"/>
              <w:jc w:val="center"/>
              <w:rPr>
                <w:rFonts w:hint="eastAsia" w:ascii="宋体" w:hAnsi="宋体" w:eastAsia="宋体" w:cs="宋体"/>
                <w:sz w:val="24"/>
                <w:szCs w:val="24"/>
              </w:rPr>
            </w:pPr>
            <w:r>
              <w:rPr>
                <w:rFonts w:hint="eastAsia" w:ascii="宋体" w:hAnsi="宋体" w:eastAsia="宋体" w:cs="宋体"/>
                <w:spacing w:val="1"/>
                <w:sz w:val="24"/>
                <w:szCs w:val="24"/>
              </w:rPr>
              <w:t>序号</w:t>
            </w:r>
          </w:p>
        </w:tc>
        <w:tc>
          <w:tcPr>
            <w:tcW w:w="1656" w:type="dxa"/>
            <w:noWrap w:val="0"/>
            <w:vAlign w:val="center"/>
          </w:tcPr>
          <w:p w14:paraId="4CFA4ED9">
            <w:pPr>
              <w:pStyle w:val="33"/>
              <w:keepNext w:val="0"/>
              <w:keepLines w:val="0"/>
              <w:suppressLineNumbers w:val="0"/>
              <w:spacing w:before="211" w:beforeAutospacing="0" w:after="0" w:afterAutospacing="0"/>
              <w:ind w:left="0" w:right="0"/>
              <w:rPr>
                <w:rFonts w:hint="eastAsia" w:ascii="宋体" w:hAnsi="宋体" w:eastAsia="宋体" w:cs="宋体"/>
                <w:sz w:val="24"/>
                <w:szCs w:val="24"/>
              </w:rPr>
            </w:pPr>
            <w:r>
              <w:rPr>
                <w:rFonts w:hint="eastAsia" w:ascii="宋体" w:hAnsi="宋体" w:eastAsia="宋体" w:cs="宋体"/>
                <w:spacing w:val="4"/>
                <w:sz w:val="24"/>
                <w:szCs w:val="24"/>
              </w:rPr>
              <w:t>采购计划文号</w:t>
            </w:r>
          </w:p>
        </w:tc>
        <w:tc>
          <w:tcPr>
            <w:tcW w:w="1196" w:type="dxa"/>
            <w:noWrap w:val="0"/>
            <w:vAlign w:val="center"/>
          </w:tcPr>
          <w:p w14:paraId="1FBD0C87">
            <w:pPr>
              <w:pStyle w:val="33"/>
              <w:keepNext w:val="0"/>
              <w:keepLines w:val="0"/>
              <w:suppressLineNumbers w:val="0"/>
              <w:spacing w:before="211"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商品名称</w:t>
            </w:r>
          </w:p>
        </w:tc>
        <w:tc>
          <w:tcPr>
            <w:tcW w:w="925" w:type="dxa"/>
            <w:noWrap w:val="0"/>
            <w:vAlign w:val="center"/>
          </w:tcPr>
          <w:p w14:paraId="35974314">
            <w:pPr>
              <w:pStyle w:val="33"/>
              <w:keepNext w:val="0"/>
              <w:keepLines w:val="0"/>
              <w:suppressLineNumbers w:val="0"/>
              <w:spacing w:before="212"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1"/>
                <w:sz w:val="24"/>
                <w:szCs w:val="24"/>
              </w:rPr>
              <w:t>品牌</w:t>
            </w:r>
          </w:p>
        </w:tc>
        <w:tc>
          <w:tcPr>
            <w:tcW w:w="925" w:type="dxa"/>
            <w:noWrap w:val="0"/>
            <w:vAlign w:val="center"/>
          </w:tcPr>
          <w:p w14:paraId="198F1D9C">
            <w:pPr>
              <w:pStyle w:val="33"/>
              <w:keepNext w:val="0"/>
              <w:keepLines w:val="0"/>
              <w:suppressLineNumbers w:val="0"/>
              <w:spacing w:before="214"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2"/>
                <w:sz w:val="24"/>
                <w:szCs w:val="24"/>
              </w:rPr>
              <w:t>型号</w:t>
            </w:r>
          </w:p>
        </w:tc>
        <w:tc>
          <w:tcPr>
            <w:tcW w:w="1549" w:type="dxa"/>
            <w:noWrap w:val="0"/>
            <w:vAlign w:val="center"/>
          </w:tcPr>
          <w:p w14:paraId="09A287EA">
            <w:pPr>
              <w:pStyle w:val="33"/>
              <w:keepNext w:val="0"/>
              <w:keepLines w:val="0"/>
              <w:suppressLineNumbers w:val="0"/>
              <w:spacing w:before="212"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配置要求</w:t>
            </w:r>
          </w:p>
        </w:tc>
        <w:tc>
          <w:tcPr>
            <w:tcW w:w="1237" w:type="dxa"/>
            <w:noWrap w:val="0"/>
            <w:vAlign w:val="center"/>
          </w:tcPr>
          <w:p w14:paraId="019DDFB7">
            <w:pPr>
              <w:pStyle w:val="33"/>
              <w:keepNext w:val="0"/>
              <w:keepLines w:val="0"/>
              <w:suppressLineNumbers w:val="0"/>
              <w:spacing w:before="212"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采购数量</w:t>
            </w:r>
          </w:p>
        </w:tc>
        <w:tc>
          <w:tcPr>
            <w:tcW w:w="925" w:type="dxa"/>
            <w:noWrap w:val="0"/>
            <w:vAlign w:val="center"/>
          </w:tcPr>
          <w:p w14:paraId="6C99E17A">
            <w:pPr>
              <w:pStyle w:val="33"/>
              <w:keepNext w:val="0"/>
              <w:keepLines w:val="0"/>
              <w:suppressLineNumbers w:val="0"/>
              <w:spacing w:before="211"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2"/>
                <w:sz w:val="24"/>
                <w:szCs w:val="24"/>
              </w:rPr>
              <w:t>单位</w:t>
            </w:r>
          </w:p>
        </w:tc>
        <w:tc>
          <w:tcPr>
            <w:tcW w:w="1217" w:type="dxa"/>
            <w:noWrap w:val="0"/>
            <w:vAlign w:val="center"/>
          </w:tcPr>
          <w:p w14:paraId="050AE77A">
            <w:pPr>
              <w:pStyle w:val="33"/>
              <w:keepNext w:val="0"/>
              <w:keepLines w:val="0"/>
              <w:suppressLineNumbers w:val="0"/>
              <w:spacing w:before="211"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4"/>
                <w:sz w:val="24"/>
                <w:szCs w:val="24"/>
              </w:rPr>
              <w:t>成交单价</w:t>
            </w:r>
          </w:p>
        </w:tc>
      </w:tr>
      <w:tr w14:paraId="0B506724">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476" w:hRule="atLeast"/>
          <w:jc w:val="center"/>
        </w:trPr>
        <w:tc>
          <w:tcPr>
            <w:tcW w:w="825" w:type="dxa"/>
            <w:noWrap w:val="0"/>
            <w:vAlign w:val="center"/>
          </w:tcPr>
          <w:p w14:paraId="449E0B53">
            <w:pPr>
              <w:keepNext w:val="0"/>
              <w:keepLines w:val="0"/>
              <w:suppressLineNumbers w:val="0"/>
              <w:spacing w:before="45" w:beforeAutospacing="0" w:after="0" w:afterAutospacing="0"/>
              <w:ind w:left="202" w:right="0"/>
              <w:jc w:val="center"/>
              <w:rPr>
                <w:rFonts w:hint="eastAsia" w:ascii="宋体" w:hAnsi="宋体" w:cs="宋体"/>
                <w:sz w:val="24"/>
              </w:rPr>
            </w:pPr>
            <w:r>
              <w:rPr>
                <w:rFonts w:hint="eastAsia" w:ascii="宋体" w:hAnsi="宋体" w:cs="宋体"/>
                <w:sz w:val="24"/>
              </w:rPr>
              <w:t>1</w:t>
            </w:r>
          </w:p>
        </w:tc>
        <w:tc>
          <w:tcPr>
            <w:tcW w:w="1656" w:type="dxa"/>
            <w:noWrap w:val="0"/>
            <w:vAlign w:val="center"/>
          </w:tcPr>
          <w:p w14:paraId="2907B3BE">
            <w:pPr>
              <w:pStyle w:val="33"/>
              <w:keepNext w:val="0"/>
              <w:keepLines w:val="0"/>
              <w:suppressLineNumbers w:val="0"/>
              <w:spacing w:before="2" w:beforeAutospacing="0" w:after="0" w:afterAutospacing="0"/>
              <w:ind w:left="197" w:right="0"/>
              <w:jc w:val="center"/>
              <w:rPr>
                <w:rFonts w:hint="eastAsia" w:ascii="宋体" w:hAnsi="宋体" w:eastAsia="宋体" w:cs="宋体"/>
                <w:sz w:val="24"/>
                <w:szCs w:val="24"/>
              </w:rPr>
            </w:pPr>
          </w:p>
        </w:tc>
        <w:tc>
          <w:tcPr>
            <w:tcW w:w="1196" w:type="dxa"/>
            <w:noWrap w:val="0"/>
            <w:vAlign w:val="center"/>
          </w:tcPr>
          <w:p w14:paraId="03C281B9">
            <w:pPr>
              <w:pStyle w:val="33"/>
              <w:keepNext w:val="0"/>
              <w:keepLines w:val="0"/>
              <w:suppressLineNumbers w:val="0"/>
              <w:spacing w:before="207" w:beforeAutospacing="0" w:after="0" w:afterAutospacing="0"/>
              <w:ind w:left="468" w:right="154" w:hanging="325"/>
              <w:jc w:val="center"/>
              <w:rPr>
                <w:rFonts w:hint="eastAsia" w:ascii="宋体" w:hAnsi="宋体" w:eastAsia="宋体" w:cs="宋体"/>
                <w:sz w:val="24"/>
                <w:szCs w:val="24"/>
              </w:rPr>
            </w:pPr>
          </w:p>
        </w:tc>
        <w:tc>
          <w:tcPr>
            <w:tcW w:w="925" w:type="dxa"/>
            <w:noWrap w:val="0"/>
            <w:vAlign w:val="center"/>
          </w:tcPr>
          <w:p w14:paraId="1AAB8474">
            <w:pPr>
              <w:pStyle w:val="33"/>
              <w:keepNext w:val="0"/>
              <w:keepLines w:val="0"/>
              <w:suppressLineNumbers w:val="0"/>
              <w:spacing w:before="64" w:beforeAutospacing="0" w:after="0" w:afterAutospacing="0"/>
              <w:ind w:left="302" w:right="0"/>
              <w:jc w:val="center"/>
              <w:rPr>
                <w:rFonts w:hint="eastAsia" w:ascii="宋体" w:hAnsi="宋体" w:eastAsia="宋体" w:cs="宋体"/>
                <w:sz w:val="24"/>
                <w:szCs w:val="24"/>
              </w:rPr>
            </w:pPr>
          </w:p>
        </w:tc>
        <w:tc>
          <w:tcPr>
            <w:tcW w:w="925" w:type="dxa"/>
            <w:noWrap w:val="0"/>
            <w:vAlign w:val="center"/>
          </w:tcPr>
          <w:p w14:paraId="3CAF164C">
            <w:pPr>
              <w:pStyle w:val="33"/>
              <w:keepNext w:val="0"/>
              <w:keepLines w:val="0"/>
              <w:suppressLineNumbers w:val="0"/>
              <w:spacing w:before="64" w:beforeAutospacing="0" w:after="0" w:afterAutospacing="0"/>
              <w:ind w:left="180" w:right="0"/>
              <w:jc w:val="center"/>
              <w:rPr>
                <w:rFonts w:hint="eastAsia" w:ascii="宋体" w:hAnsi="宋体" w:eastAsia="宋体" w:cs="宋体"/>
                <w:sz w:val="24"/>
                <w:szCs w:val="24"/>
              </w:rPr>
            </w:pPr>
          </w:p>
        </w:tc>
        <w:tc>
          <w:tcPr>
            <w:tcW w:w="1549" w:type="dxa"/>
            <w:noWrap w:val="0"/>
            <w:vAlign w:val="center"/>
          </w:tcPr>
          <w:p w14:paraId="397C8858">
            <w:pPr>
              <w:pStyle w:val="33"/>
              <w:keepNext w:val="0"/>
              <w:keepLines w:val="0"/>
              <w:suppressLineNumbers w:val="0"/>
              <w:spacing w:before="29" w:beforeAutospacing="0" w:after="0" w:afterAutospacing="0"/>
              <w:ind w:left="447" w:right="0"/>
              <w:jc w:val="center"/>
              <w:rPr>
                <w:rFonts w:hint="eastAsia" w:ascii="宋体" w:hAnsi="宋体" w:eastAsia="宋体" w:cs="宋体"/>
                <w:sz w:val="24"/>
                <w:szCs w:val="24"/>
              </w:rPr>
            </w:pPr>
          </w:p>
        </w:tc>
        <w:tc>
          <w:tcPr>
            <w:tcW w:w="1237" w:type="dxa"/>
            <w:noWrap w:val="0"/>
            <w:vAlign w:val="center"/>
          </w:tcPr>
          <w:p w14:paraId="1BDC7CC3">
            <w:pPr>
              <w:keepNext w:val="0"/>
              <w:keepLines w:val="0"/>
              <w:suppressLineNumbers w:val="0"/>
              <w:spacing w:before="45" w:beforeAutospacing="0" w:after="0" w:afterAutospacing="0"/>
              <w:ind w:left="384" w:right="0"/>
              <w:jc w:val="center"/>
              <w:rPr>
                <w:rFonts w:hint="eastAsia" w:ascii="宋体" w:hAnsi="宋体" w:cs="宋体"/>
                <w:sz w:val="24"/>
              </w:rPr>
            </w:pPr>
          </w:p>
        </w:tc>
        <w:tc>
          <w:tcPr>
            <w:tcW w:w="925" w:type="dxa"/>
            <w:noWrap w:val="0"/>
            <w:vAlign w:val="center"/>
          </w:tcPr>
          <w:p w14:paraId="569AB280">
            <w:pPr>
              <w:pStyle w:val="33"/>
              <w:keepNext w:val="0"/>
              <w:keepLines w:val="0"/>
              <w:suppressLineNumbers w:val="0"/>
              <w:spacing w:before="64" w:beforeAutospacing="0" w:after="0" w:afterAutospacing="0"/>
              <w:ind w:left="388" w:right="0"/>
              <w:jc w:val="center"/>
              <w:rPr>
                <w:rFonts w:hint="eastAsia" w:ascii="宋体" w:hAnsi="宋体" w:eastAsia="宋体" w:cs="宋体"/>
                <w:sz w:val="24"/>
                <w:szCs w:val="24"/>
              </w:rPr>
            </w:pPr>
          </w:p>
        </w:tc>
        <w:tc>
          <w:tcPr>
            <w:tcW w:w="1217" w:type="dxa"/>
            <w:noWrap w:val="0"/>
            <w:vAlign w:val="center"/>
          </w:tcPr>
          <w:p w14:paraId="3D8294E2">
            <w:pPr>
              <w:pStyle w:val="33"/>
              <w:keepNext w:val="0"/>
              <w:keepLines w:val="0"/>
              <w:suppressLineNumbers w:val="0"/>
              <w:spacing w:before="64" w:beforeAutospacing="0" w:after="0" w:afterAutospacing="0"/>
              <w:ind w:left="428" w:right="0"/>
              <w:jc w:val="center"/>
              <w:rPr>
                <w:rFonts w:hint="eastAsia" w:ascii="宋体" w:hAnsi="宋体" w:eastAsia="宋体" w:cs="宋体"/>
                <w:sz w:val="24"/>
                <w:szCs w:val="24"/>
              </w:rPr>
            </w:pPr>
          </w:p>
        </w:tc>
      </w:tr>
      <w:tr w14:paraId="573A0C72">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2" w:hRule="atLeast"/>
          <w:jc w:val="center"/>
        </w:trPr>
        <w:tc>
          <w:tcPr>
            <w:tcW w:w="2481" w:type="dxa"/>
            <w:gridSpan w:val="2"/>
            <w:noWrap w:val="0"/>
            <w:vAlign w:val="center"/>
          </w:tcPr>
          <w:p w14:paraId="5F0D95D6">
            <w:pPr>
              <w:pStyle w:val="33"/>
              <w:keepNext w:val="0"/>
              <w:keepLines w:val="0"/>
              <w:suppressLineNumbers w:val="0"/>
              <w:spacing w:before="105" w:beforeAutospacing="0" w:after="0" w:afterAutospacing="0"/>
              <w:ind w:left="386" w:right="0"/>
              <w:jc w:val="center"/>
              <w:rPr>
                <w:rFonts w:hint="eastAsia" w:ascii="宋体" w:hAnsi="宋体" w:eastAsia="宋体" w:cs="宋体"/>
                <w:sz w:val="24"/>
                <w:szCs w:val="24"/>
              </w:rPr>
            </w:pPr>
            <w:r>
              <w:rPr>
                <w:rFonts w:hint="eastAsia" w:ascii="宋体" w:hAnsi="宋体" w:eastAsia="宋体" w:cs="宋体"/>
                <w:sz w:val="24"/>
                <w:szCs w:val="24"/>
              </w:rPr>
              <w:t>合同总价（元）</w:t>
            </w:r>
          </w:p>
        </w:tc>
        <w:tc>
          <w:tcPr>
            <w:tcW w:w="7974" w:type="dxa"/>
            <w:gridSpan w:val="7"/>
            <w:noWrap w:val="0"/>
            <w:vAlign w:val="center"/>
          </w:tcPr>
          <w:p w14:paraId="08C8059B">
            <w:pPr>
              <w:pStyle w:val="33"/>
              <w:keepNext w:val="0"/>
              <w:keepLines w:val="0"/>
              <w:suppressLineNumbers w:val="0"/>
              <w:spacing w:before="120" w:beforeAutospacing="0" w:after="0" w:afterAutospacing="0"/>
              <w:ind w:left="3861" w:right="0"/>
              <w:jc w:val="center"/>
              <w:rPr>
                <w:rFonts w:hint="eastAsia" w:ascii="宋体" w:hAnsi="宋体" w:eastAsia="宋体" w:cs="宋体"/>
                <w:sz w:val="24"/>
                <w:szCs w:val="24"/>
              </w:rPr>
            </w:pPr>
          </w:p>
        </w:tc>
      </w:tr>
      <w:tr w14:paraId="5AC26A18">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8" w:hRule="atLeast"/>
          <w:jc w:val="center"/>
        </w:trPr>
        <w:tc>
          <w:tcPr>
            <w:tcW w:w="2481" w:type="dxa"/>
            <w:gridSpan w:val="2"/>
            <w:noWrap w:val="0"/>
            <w:vAlign w:val="center"/>
          </w:tcPr>
          <w:p w14:paraId="6A1D648E">
            <w:pPr>
              <w:pStyle w:val="33"/>
              <w:keepNext w:val="0"/>
              <w:keepLines w:val="0"/>
              <w:suppressLineNumbers w:val="0"/>
              <w:spacing w:before="106" w:beforeAutospacing="0" w:after="0" w:afterAutospacing="0"/>
              <w:ind w:left="309" w:right="0"/>
              <w:jc w:val="center"/>
              <w:rPr>
                <w:rFonts w:hint="eastAsia" w:ascii="宋体" w:hAnsi="宋体" w:eastAsia="宋体" w:cs="宋体"/>
                <w:sz w:val="24"/>
                <w:szCs w:val="24"/>
              </w:rPr>
            </w:pPr>
            <w:r>
              <w:rPr>
                <w:rFonts w:hint="eastAsia" w:ascii="宋体" w:hAnsi="宋体" w:eastAsia="宋体" w:cs="宋体"/>
                <w:sz w:val="24"/>
                <w:szCs w:val="24"/>
              </w:rPr>
              <w:t>合同总价（大写）</w:t>
            </w:r>
          </w:p>
        </w:tc>
        <w:tc>
          <w:tcPr>
            <w:tcW w:w="7974" w:type="dxa"/>
            <w:gridSpan w:val="7"/>
            <w:noWrap w:val="0"/>
            <w:vAlign w:val="center"/>
          </w:tcPr>
          <w:p w14:paraId="6632EC1F">
            <w:pPr>
              <w:pStyle w:val="33"/>
              <w:keepNext w:val="0"/>
              <w:keepLines w:val="0"/>
              <w:suppressLineNumbers w:val="0"/>
              <w:spacing w:before="106" w:beforeAutospacing="0" w:after="0" w:afterAutospacing="0"/>
              <w:ind w:left="3320" w:right="0"/>
              <w:jc w:val="center"/>
              <w:rPr>
                <w:rFonts w:hint="eastAsia" w:ascii="宋体" w:hAnsi="宋体" w:eastAsia="宋体" w:cs="宋体"/>
                <w:sz w:val="24"/>
                <w:szCs w:val="24"/>
              </w:rPr>
            </w:pPr>
          </w:p>
        </w:tc>
      </w:tr>
    </w:tbl>
    <w:p w14:paraId="56661384">
      <w:pPr>
        <w:rPr>
          <w:rFonts w:hint="eastAsia" w:ascii="宋体" w:hAnsi="宋体" w:cs="宋体"/>
          <w:sz w:val="24"/>
        </w:rPr>
      </w:pPr>
    </w:p>
    <w:p w14:paraId="2BF6BEC4">
      <w:pPr>
        <w:pStyle w:val="5"/>
        <w:spacing w:before="65"/>
        <w:rPr>
          <w:rFonts w:hint="eastAsia" w:ascii="宋体" w:hAnsi="宋体" w:cs="宋体"/>
          <w:sz w:val="24"/>
        </w:rPr>
      </w:pPr>
      <w:r>
        <w:rPr>
          <w:rFonts w:hint="eastAsia" w:ascii="宋体" w:hAnsi="宋体" w:cs="宋体"/>
          <w:spacing w:val="-7"/>
          <w:sz w:val="24"/>
        </w:rPr>
        <w:t>注：</w:t>
      </w:r>
    </w:p>
    <w:p w14:paraId="4CEE9204">
      <w:pPr>
        <w:pStyle w:val="5"/>
        <w:spacing w:before="30"/>
        <w:ind w:right="251"/>
        <w:rPr>
          <w:rFonts w:hint="eastAsia" w:ascii="宋体" w:hAnsi="宋体" w:cs="宋体"/>
          <w:sz w:val="24"/>
        </w:rPr>
      </w:pPr>
      <w:r>
        <w:rPr>
          <w:rFonts w:hint="eastAsia" w:ascii="宋体" w:hAnsi="宋体" w:cs="宋体"/>
          <w:spacing w:val="5"/>
          <w:sz w:val="24"/>
        </w:rPr>
        <w:t>合同总价包含商品到达甲方并能正常使用所</w:t>
      </w:r>
      <w:r>
        <w:rPr>
          <w:rFonts w:hint="eastAsia" w:ascii="宋体" w:hAnsi="宋体" w:cs="宋体"/>
          <w:spacing w:val="4"/>
          <w:sz w:val="24"/>
        </w:rPr>
        <w:t>需的一切费用，包括但不限于商品购置费、包装费、运输费、装卸费、保险费、安装调试费、技术服务</w:t>
      </w:r>
      <w:r>
        <w:rPr>
          <w:rFonts w:hint="eastAsia" w:ascii="宋体" w:hAnsi="宋体" w:cs="宋体"/>
          <w:spacing w:val="2"/>
          <w:sz w:val="24"/>
        </w:rPr>
        <w:t>费、培训费以及保修费、税费等。</w:t>
      </w:r>
    </w:p>
    <w:p w14:paraId="3F198B42">
      <w:pPr>
        <w:pStyle w:val="5"/>
        <w:spacing w:before="262"/>
        <w:ind w:left="403"/>
        <w:rPr>
          <w:rFonts w:hint="eastAsia" w:ascii="宋体" w:hAnsi="宋体" w:cs="宋体"/>
          <w:sz w:val="24"/>
        </w:rPr>
      </w:pPr>
      <w:r>
        <w:rPr>
          <w:rFonts w:hint="eastAsia" w:ascii="宋体" w:hAnsi="宋体" w:cs="宋体"/>
          <w:b/>
          <w:bCs/>
          <w:spacing w:val="3"/>
          <w:sz w:val="24"/>
        </w:rPr>
        <w:t>二、资金来源及支付方式</w:t>
      </w:r>
    </w:p>
    <w:p w14:paraId="3DC0F584">
      <w:pPr>
        <w:pStyle w:val="5"/>
        <w:spacing w:before="31"/>
        <w:jc w:val="right"/>
        <w:rPr>
          <w:rFonts w:hint="eastAsia" w:ascii="宋体" w:hAnsi="宋体" w:cs="宋体"/>
          <w:sz w:val="24"/>
        </w:rPr>
      </w:pPr>
      <w:r>
        <w:rPr>
          <w:rFonts w:hint="eastAsia" w:ascii="宋体" w:hAnsi="宋体" w:cs="宋体"/>
          <w:spacing w:val="4"/>
          <w:sz w:val="24"/>
        </w:rPr>
        <w:t>金额单位：元</w:t>
      </w:r>
    </w:p>
    <w:tbl>
      <w:tblPr>
        <w:tblStyle w:val="16"/>
        <w:tblpPr w:leftFromText="180" w:rightFromText="180" w:vertAnchor="page" w:horzAnchor="page" w:tblpXSpec="center" w:tblpY="13524"/>
        <w:tblOverlap w:val="never"/>
        <w:tblW w:w="10220"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869"/>
        <w:gridCol w:w="2055"/>
        <w:gridCol w:w="1453"/>
        <w:gridCol w:w="886"/>
        <w:gridCol w:w="1460"/>
        <w:gridCol w:w="1739"/>
        <w:gridCol w:w="1758"/>
      </w:tblGrid>
      <w:tr w14:paraId="57250395">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3" w:hRule="atLeast"/>
          <w:jc w:val="center"/>
        </w:trPr>
        <w:tc>
          <w:tcPr>
            <w:tcW w:w="869" w:type="dxa"/>
            <w:noWrap w:val="0"/>
            <w:vAlign w:val="center"/>
          </w:tcPr>
          <w:p w14:paraId="6D2743B6">
            <w:pPr>
              <w:pStyle w:val="33"/>
              <w:keepNext w:val="0"/>
              <w:keepLines w:val="0"/>
              <w:suppressLineNumbers w:val="0"/>
              <w:spacing w:before="10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序号</w:t>
            </w:r>
          </w:p>
        </w:tc>
        <w:tc>
          <w:tcPr>
            <w:tcW w:w="2055" w:type="dxa"/>
            <w:noWrap w:val="0"/>
            <w:vAlign w:val="center"/>
          </w:tcPr>
          <w:p w14:paraId="7F2BF085">
            <w:pPr>
              <w:pStyle w:val="33"/>
              <w:keepNext w:val="0"/>
              <w:keepLines w:val="0"/>
              <w:suppressLineNumbers w:val="0"/>
              <w:spacing w:before="101"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4"/>
                <w:sz w:val="24"/>
                <w:szCs w:val="24"/>
              </w:rPr>
              <w:t>采购计划文号</w:t>
            </w:r>
          </w:p>
        </w:tc>
        <w:tc>
          <w:tcPr>
            <w:tcW w:w="1453" w:type="dxa"/>
            <w:noWrap w:val="0"/>
            <w:vAlign w:val="center"/>
          </w:tcPr>
          <w:p w14:paraId="681CDF8B">
            <w:pPr>
              <w:pStyle w:val="33"/>
              <w:keepNext w:val="0"/>
              <w:keepLines w:val="0"/>
              <w:suppressLineNumbers w:val="0"/>
              <w:spacing w:before="102"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采购目录</w:t>
            </w:r>
          </w:p>
        </w:tc>
        <w:tc>
          <w:tcPr>
            <w:tcW w:w="886" w:type="dxa"/>
            <w:noWrap w:val="0"/>
            <w:vAlign w:val="center"/>
          </w:tcPr>
          <w:p w14:paraId="5E59375A">
            <w:pPr>
              <w:pStyle w:val="33"/>
              <w:keepNext w:val="0"/>
              <w:keepLines w:val="0"/>
              <w:suppressLineNumbers w:val="0"/>
              <w:spacing w:before="102"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数量</w:t>
            </w:r>
          </w:p>
        </w:tc>
        <w:tc>
          <w:tcPr>
            <w:tcW w:w="1460" w:type="dxa"/>
            <w:noWrap w:val="0"/>
            <w:vAlign w:val="center"/>
          </w:tcPr>
          <w:p w14:paraId="78A528F6">
            <w:pPr>
              <w:pStyle w:val="33"/>
              <w:keepNext w:val="0"/>
              <w:keepLines w:val="0"/>
              <w:suppressLineNumbers w:val="0"/>
              <w:spacing w:before="10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预算资金</w:t>
            </w:r>
          </w:p>
        </w:tc>
        <w:tc>
          <w:tcPr>
            <w:tcW w:w="1739" w:type="dxa"/>
            <w:noWrap w:val="0"/>
            <w:vAlign w:val="center"/>
          </w:tcPr>
          <w:p w14:paraId="588C5DD9">
            <w:pPr>
              <w:pStyle w:val="33"/>
              <w:keepNext w:val="0"/>
              <w:keepLines w:val="0"/>
              <w:suppressLineNumbers w:val="0"/>
              <w:spacing w:before="10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资金来源性质</w:t>
            </w:r>
          </w:p>
        </w:tc>
        <w:tc>
          <w:tcPr>
            <w:tcW w:w="1758" w:type="dxa"/>
            <w:noWrap w:val="0"/>
            <w:vAlign w:val="center"/>
          </w:tcPr>
          <w:p w14:paraId="207B6E67">
            <w:pPr>
              <w:pStyle w:val="33"/>
              <w:keepNext w:val="0"/>
              <w:keepLines w:val="0"/>
              <w:suppressLineNumbers w:val="0"/>
              <w:spacing w:before="10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资金支付方式</w:t>
            </w:r>
          </w:p>
        </w:tc>
      </w:tr>
      <w:tr w14:paraId="38F1AF4C">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3" w:hRule="atLeast"/>
          <w:jc w:val="center"/>
        </w:trPr>
        <w:tc>
          <w:tcPr>
            <w:tcW w:w="869" w:type="dxa"/>
            <w:noWrap w:val="0"/>
            <w:vAlign w:val="center"/>
          </w:tcPr>
          <w:p w14:paraId="0700DDF3">
            <w:pPr>
              <w:pStyle w:val="33"/>
              <w:keepNext w:val="0"/>
              <w:keepLines w:val="0"/>
              <w:suppressLineNumbers w:val="0"/>
              <w:spacing w:before="100" w:beforeAutospacing="0" w:after="0" w:afterAutospacing="0"/>
              <w:ind w:left="572" w:right="0"/>
              <w:jc w:val="center"/>
              <w:rPr>
                <w:rFonts w:hint="eastAsia" w:ascii="宋体" w:hAnsi="宋体" w:eastAsia="宋体" w:cs="宋体"/>
                <w:spacing w:val="3"/>
                <w:sz w:val="24"/>
                <w:szCs w:val="24"/>
              </w:rPr>
            </w:pPr>
          </w:p>
        </w:tc>
        <w:tc>
          <w:tcPr>
            <w:tcW w:w="2055" w:type="dxa"/>
            <w:noWrap w:val="0"/>
            <w:vAlign w:val="center"/>
          </w:tcPr>
          <w:p w14:paraId="7D8FBA6A">
            <w:pPr>
              <w:pStyle w:val="33"/>
              <w:keepNext w:val="0"/>
              <w:keepLines w:val="0"/>
              <w:suppressLineNumbers w:val="0"/>
              <w:spacing w:before="101" w:beforeAutospacing="0" w:after="0" w:afterAutospacing="0"/>
              <w:ind w:left="265" w:right="0"/>
              <w:jc w:val="center"/>
              <w:rPr>
                <w:rFonts w:hint="eastAsia" w:ascii="宋体" w:hAnsi="宋体" w:eastAsia="宋体" w:cs="宋体"/>
                <w:spacing w:val="4"/>
                <w:sz w:val="24"/>
                <w:szCs w:val="24"/>
              </w:rPr>
            </w:pPr>
          </w:p>
        </w:tc>
        <w:tc>
          <w:tcPr>
            <w:tcW w:w="1453" w:type="dxa"/>
            <w:noWrap w:val="0"/>
            <w:vAlign w:val="center"/>
          </w:tcPr>
          <w:p w14:paraId="5F4E19C2">
            <w:pPr>
              <w:pStyle w:val="33"/>
              <w:keepNext w:val="0"/>
              <w:keepLines w:val="0"/>
              <w:suppressLineNumbers w:val="0"/>
              <w:spacing w:before="102" w:beforeAutospacing="0" w:after="0" w:afterAutospacing="0"/>
              <w:ind w:left="415" w:right="0"/>
              <w:jc w:val="center"/>
              <w:rPr>
                <w:rFonts w:hint="eastAsia" w:ascii="宋体" w:hAnsi="宋体" w:eastAsia="宋体" w:cs="宋体"/>
                <w:spacing w:val="3"/>
                <w:sz w:val="24"/>
                <w:szCs w:val="24"/>
              </w:rPr>
            </w:pPr>
          </w:p>
        </w:tc>
        <w:tc>
          <w:tcPr>
            <w:tcW w:w="886" w:type="dxa"/>
            <w:noWrap w:val="0"/>
            <w:vAlign w:val="center"/>
          </w:tcPr>
          <w:p w14:paraId="31AA4B20">
            <w:pPr>
              <w:pStyle w:val="33"/>
              <w:keepNext w:val="0"/>
              <w:keepLines w:val="0"/>
              <w:suppressLineNumbers w:val="0"/>
              <w:spacing w:before="102" w:beforeAutospacing="0" w:after="0" w:afterAutospacing="0"/>
              <w:ind w:left="576" w:right="0"/>
              <w:jc w:val="center"/>
              <w:rPr>
                <w:rFonts w:hint="eastAsia" w:ascii="宋体" w:hAnsi="宋体" w:eastAsia="宋体" w:cs="宋体"/>
                <w:spacing w:val="3"/>
                <w:sz w:val="24"/>
                <w:szCs w:val="24"/>
              </w:rPr>
            </w:pPr>
          </w:p>
        </w:tc>
        <w:tc>
          <w:tcPr>
            <w:tcW w:w="1460" w:type="dxa"/>
            <w:noWrap w:val="0"/>
            <w:vAlign w:val="center"/>
          </w:tcPr>
          <w:p w14:paraId="41FAD203">
            <w:pPr>
              <w:pStyle w:val="33"/>
              <w:keepNext w:val="0"/>
              <w:keepLines w:val="0"/>
              <w:suppressLineNumbers w:val="0"/>
              <w:spacing w:before="100" w:beforeAutospacing="0" w:after="0" w:afterAutospacing="0"/>
              <w:ind w:left="418" w:right="0"/>
              <w:jc w:val="center"/>
              <w:rPr>
                <w:rFonts w:hint="eastAsia" w:ascii="宋体" w:hAnsi="宋体" w:eastAsia="宋体" w:cs="宋体"/>
                <w:spacing w:val="3"/>
                <w:sz w:val="24"/>
                <w:szCs w:val="24"/>
              </w:rPr>
            </w:pPr>
          </w:p>
        </w:tc>
        <w:tc>
          <w:tcPr>
            <w:tcW w:w="1739" w:type="dxa"/>
            <w:noWrap w:val="0"/>
            <w:vAlign w:val="center"/>
          </w:tcPr>
          <w:p w14:paraId="3DBE5D50">
            <w:pPr>
              <w:pStyle w:val="33"/>
              <w:keepNext w:val="0"/>
              <w:keepLines w:val="0"/>
              <w:suppressLineNumbers w:val="0"/>
              <w:spacing w:before="100" w:beforeAutospacing="0" w:after="0" w:afterAutospacing="0"/>
              <w:ind w:left="270" w:right="0"/>
              <w:jc w:val="center"/>
              <w:rPr>
                <w:rFonts w:hint="eastAsia" w:ascii="宋体" w:hAnsi="宋体" w:eastAsia="宋体" w:cs="宋体"/>
                <w:spacing w:val="3"/>
                <w:sz w:val="24"/>
                <w:szCs w:val="24"/>
              </w:rPr>
            </w:pPr>
          </w:p>
        </w:tc>
        <w:tc>
          <w:tcPr>
            <w:tcW w:w="1758" w:type="dxa"/>
            <w:noWrap w:val="0"/>
            <w:vAlign w:val="center"/>
          </w:tcPr>
          <w:p w14:paraId="13F38B96">
            <w:pPr>
              <w:pStyle w:val="33"/>
              <w:keepNext w:val="0"/>
              <w:keepLines w:val="0"/>
              <w:suppressLineNumbers w:val="0"/>
              <w:spacing w:before="100" w:beforeAutospacing="0" w:after="0" w:afterAutospacing="0"/>
              <w:ind w:left="264" w:right="0"/>
              <w:jc w:val="center"/>
              <w:rPr>
                <w:rFonts w:hint="eastAsia" w:ascii="宋体" w:hAnsi="宋体" w:eastAsia="宋体" w:cs="宋体"/>
                <w:spacing w:val="3"/>
                <w:sz w:val="24"/>
                <w:szCs w:val="24"/>
              </w:rPr>
            </w:pPr>
          </w:p>
        </w:tc>
      </w:tr>
    </w:tbl>
    <w:p w14:paraId="62961F61">
      <w:pPr>
        <w:pStyle w:val="5"/>
        <w:spacing w:before="45" w:line="240" w:lineRule="exact"/>
        <w:rPr>
          <w:rFonts w:hint="eastAsia" w:ascii="宋体" w:hAnsi="宋体" w:cs="宋体"/>
          <w:spacing w:val="-7"/>
          <w:sz w:val="24"/>
        </w:rPr>
      </w:pPr>
    </w:p>
    <w:p w14:paraId="2E11215E">
      <w:pPr>
        <w:pStyle w:val="5"/>
        <w:spacing w:before="45" w:line="260" w:lineRule="exact"/>
        <w:rPr>
          <w:rFonts w:hint="eastAsia" w:ascii="宋体" w:hAnsi="宋体" w:cs="宋体"/>
          <w:sz w:val="24"/>
        </w:rPr>
      </w:pPr>
      <w:r>
        <w:rPr>
          <w:rFonts w:hint="eastAsia" w:ascii="宋体" w:hAnsi="宋体" w:cs="宋体"/>
          <w:spacing w:val="-7"/>
          <w:sz w:val="24"/>
        </w:rPr>
        <w:t>注：</w:t>
      </w:r>
    </w:p>
    <w:p w14:paraId="6620B3CC">
      <w:pPr>
        <w:pStyle w:val="5"/>
        <w:spacing w:before="29" w:line="260" w:lineRule="exact"/>
        <w:ind w:right="296"/>
        <w:rPr>
          <w:rFonts w:hint="eastAsia" w:ascii="宋体" w:hAnsi="宋体" w:cs="宋体"/>
          <w:sz w:val="24"/>
        </w:rPr>
      </w:pPr>
      <w:r>
        <w:rPr>
          <w:rFonts w:hint="eastAsia" w:ascii="宋体" w:hAnsi="宋体" w:cs="宋体"/>
          <w:spacing w:val="4"/>
          <w:sz w:val="24"/>
        </w:rPr>
        <w:t>1、资金来源性质包括预算内资金、专户资金、其它、核算其它、预</w:t>
      </w:r>
      <w:r>
        <w:rPr>
          <w:rFonts w:hint="eastAsia" w:ascii="宋体" w:hAnsi="宋体" w:cs="宋体"/>
          <w:spacing w:val="3"/>
          <w:sz w:val="24"/>
        </w:rPr>
        <w:t>算内暂存、专户资金暂存、核算其它暂存等，根据采购计划核定的性质填写。</w:t>
      </w:r>
      <w:r>
        <w:rPr>
          <w:rFonts w:hint="eastAsia" w:ascii="宋体" w:hAnsi="宋体" w:cs="宋体"/>
          <w:sz w:val="24"/>
        </w:rPr>
        <w:t xml:space="preserve"> </w:t>
      </w:r>
    </w:p>
    <w:p w14:paraId="5A27FA7D">
      <w:pPr>
        <w:pStyle w:val="5"/>
        <w:spacing w:before="29" w:line="260" w:lineRule="exact"/>
        <w:ind w:right="296"/>
        <w:rPr>
          <w:rFonts w:hint="eastAsia" w:ascii="宋体" w:hAnsi="宋体" w:cs="宋体"/>
          <w:sz w:val="24"/>
        </w:rPr>
      </w:pPr>
      <w:r>
        <w:rPr>
          <w:rFonts w:hint="eastAsia" w:ascii="宋体" w:hAnsi="宋体" w:cs="宋体"/>
          <w:spacing w:val="3"/>
          <w:sz w:val="24"/>
        </w:rPr>
        <w:t>2、资金支付方式包括财政直接支付或财政授权支付、单位自行支付，根据采购计划核定的方式填写。</w:t>
      </w:r>
    </w:p>
    <w:p w14:paraId="38637F34">
      <w:pPr>
        <w:pStyle w:val="5"/>
        <w:spacing w:before="262" w:line="260" w:lineRule="exact"/>
        <w:ind w:left="403"/>
        <w:outlineLvl w:val="0"/>
        <w:rPr>
          <w:rFonts w:hint="eastAsia" w:ascii="宋体" w:hAnsi="宋体" w:cs="宋体"/>
          <w:sz w:val="24"/>
        </w:rPr>
      </w:pPr>
      <w:r>
        <w:rPr>
          <w:rFonts w:hint="eastAsia" w:ascii="宋体" w:hAnsi="宋体" w:cs="宋体"/>
          <w:b/>
          <w:bCs/>
          <w:spacing w:val="3"/>
          <w:sz w:val="24"/>
        </w:rPr>
        <w:t>三、货款结算</w:t>
      </w:r>
    </w:p>
    <w:p w14:paraId="0857255C">
      <w:pPr>
        <w:pStyle w:val="5"/>
        <w:keepNext w:val="0"/>
        <w:keepLines w:val="0"/>
        <w:pageBreakBefore w:val="0"/>
        <w:widowControl w:val="0"/>
        <w:kinsoku/>
        <w:wordWrap/>
        <w:overflowPunct/>
        <w:topLinePunct w:val="0"/>
        <w:autoSpaceDE/>
        <w:autoSpaceDN/>
        <w:bidi w:val="0"/>
        <w:adjustRightInd/>
        <w:snapToGrid/>
        <w:spacing w:before="30" w:line="320" w:lineRule="exact"/>
        <w:ind w:right="247"/>
        <w:textAlignment w:val="auto"/>
        <w:rPr>
          <w:rFonts w:hint="eastAsia" w:ascii="宋体" w:hAnsi="宋体" w:cs="宋体"/>
          <w:sz w:val="24"/>
          <w:highlight w:val="none"/>
          <w:shd w:val="clear" w:color="auto" w:fill="auto"/>
        </w:rPr>
      </w:pPr>
      <w:r>
        <w:rPr>
          <w:rFonts w:hint="eastAsia" w:ascii="宋体" w:hAnsi="宋体" w:cs="宋体"/>
          <w:spacing w:val="4"/>
          <w:sz w:val="24"/>
          <w:highlight w:val="none"/>
          <w:shd w:val="clear" w:color="auto" w:fill="auto"/>
        </w:rPr>
        <w:t>1、实行国库集中支付改革的单位：甲方应根据采购计划确认的资金支付方式，按规定将货款全部支付（或申请支付）给乙方。其中确认“财政直</w:t>
      </w:r>
      <w:r>
        <w:rPr>
          <w:rFonts w:hint="eastAsia" w:ascii="宋体" w:hAnsi="宋体" w:cs="宋体"/>
          <w:sz w:val="24"/>
          <w:highlight w:val="none"/>
          <w:shd w:val="clear" w:color="auto" w:fill="auto"/>
        </w:rPr>
        <w:t xml:space="preserve">   </w:t>
      </w:r>
      <w:r>
        <w:rPr>
          <w:rFonts w:hint="eastAsia" w:ascii="宋体" w:hAnsi="宋体" w:cs="宋体"/>
          <w:spacing w:val="4"/>
          <w:sz w:val="24"/>
          <w:highlight w:val="none"/>
          <w:shd w:val="clear" w:color="auto" w:fill="auto"/>
        </w:rPr>
        <w:t>接支付方式”的，甲方应在货物验收合格后</w:t>
      </w:r>
      <w:r>
        <w:rPr>
          <w:rFonts w:hint="eastAsia" w:ascii="宋体" w:hAnsi="宋体" w:cs="宋体"/>
          <w:color w:val="FF0000"/>
          <w:spacing w:val="4"/>
          <w:sz w:val="24"/>
          <w:highlight w:val="none"/>
          <w:u w:val="single"/>
          <w:shd w:val="clear" w:color="auto" w:fill="auto"/>
          <w:lang w:val="en-US" w:eastAsia="zh-CN"/>
        </w:rPr>
        <w:t>/</w:t>
      </w:r>
      <w:r>
        <w:rPr>
          <w:rFonts w:hint="eastAsia" w:ascii="宋体" w:hAnsi="宋体" w:cs="宋体"/>
          <w:color w:val="FF0000"/>
          <w:spacing w:val="19"/>
          <w:w w:val="101"/>
          <w:sz w:val="24"/>
          <w:highlight w:val="none"/>
          <w:u w:val="single"/>
          <w:shd w:val="clear" w:color="auto" w:fill="auto"/>
        </w:rPr>
        <w:t xml:space="preserve"> </w:t>
      </w:r>
      <w:r>
        <w:rPr>
          <w:rFonts w:hint="eastAsia" w:ascii="宋体" w:hAnsi="宋体" w:cs="宋体"/>
          <w:spacing w:val="19"/>
          <w:w w:val="101"/>
          <w:sz w:val="24"/>
          <w:highlight w:val="none"/>
          <w:u w:val="single"/>
          <w:shd w:val="clear" w:color="auto" w:fill="auto"/>
        </w:rPr>
        <w:t xml:space="preserve"> </w:t>
      </w:r>
      <w:r>
        <w:rPr>
          <w:rFonts w:hint="eastAsia" w:ascii="宋体" w:hAnsi="宋体" w:cs="宋体"/>
          <w:spacing w:val="4"/>
          <w:sz w:val="24"/>
          <w:highlight w:val="none"/>
          <w:shd w:val="clear" w:color="auto" w:fill="auto"/>
        </w:rPr>
        <w:t>个工作日内，向财政国库支付机构提出申请支付令、办理国库支付手续，财政国库支付机构应在规定时</w:t>
      </w:r>
      <w:r>
        <w:rPr>
          <w:rFonts w:hint="eastAsia" w:ascii="宋体" w:hAnsi="宋体" w:cs="宋体"/>
          <w:sz w:val="24"/>
          <w:highlight w:val="none"/>
          <w:shd w:val="clear" w:color="auto" w:fill="auto"/>
        </w:rPr>
        <w:t xml:space="preserve">  </w:t>
      </w:r>
      <w:r>
        <w:rPr>
          <w:rFonts w:hint="eastAsia" w:ascii="宋体" w:hAnsi="宋体" w:cs="宋体"/>
          <w:spacing w:val="4"/>
          <w:sz w:val="24"/>
          <w:highlight w:val="none"/>
          <w:shd w:val="clear" w:color="auto" w:fill="auto"/>
        </w:rPr>
        <w:t>间内（不计入甲方付款期限</w:t>
      </w:r>
      <w:r>
        <w:rPr>
          <w:rFonts w:hint="eastAsia" w:ascii="宋体" w:hAnsi="宋体" w:cs="宋体"/>
          <w:spacing w:val="10"/>
          <w:sz w:val="24"/>
          <w:highlight w:val="none"/>
          <w:shd w:val="clear" w:color="auto" w:fill="auto"/>
        </w:rPr>
        <w:t>），</w:t>
      </w:r>
      <w:r>
        <w:rPr>
          <w:rFonts w:hint="eastAsia" w:ascii="宋体" w:hAnsi="宋体" w:cs="宋体"/>
          <w:spacing w:val="4"/>
          <w:sz w:val="24"/>
          <w:highlight w:val="none"/>
          <w:shd w:val="clear" w:color="auto" w:fill="auto"/>
        </w:rPr>
        <w:t xml:space="preserve">将货款支付给乙方；确认“财政授权支付或单位自行支付方式”的，由甲方在货物验收合格后 </w:t>
      </w:r>
      <w:r>
        <w:rPr>
          <w:rFonts w:hint="eastAsia" w:ascii="宋体" w:hAnsi="宋体" w:cs="宋体"/>
          <w:color w:val="FF0000"/>
          <w:spacing w:val="4"/>
          <w:sz w:val="24"/>
          <w:highlight w:val="none"/>
          <w:u w:val="single"/>
          <w:shd w:val="clear" w:color="auto" w:fill="auto"/>
          <w:lang w:val="en-US" w:eastAsia="zh-CN"/>
        </w:rPr>
        <w:t>/</w:t>
      </w:r>
      <w:r>
        <w:rPr>
          <w:rFonts w:hint="eastAsia" w:ascii="宋体" w:hAnsi="宋体" w:cs="宋体"/>
          <w:color w:val="FF0000"/>
          <w:spacing w:val="19"/>
          <w:w w:val="101"/>
          <w:sz w:val="24"/>
          <w:highlight w:val="none"/>
          <w:u w:val="single"/>
          <w:shd w:val="clear" w:color="auto" w:fill="auto"/>
        </w:rPr>
        <w:t xml:space="preserve"> </w:t>
      </w:r>
      <w:r>
        <w:rPr>
          <w:rFonts w:hint="eastAsia" w:ascii="宋体" w:hAnsi="宋体" w:cs="宋体"/>
          <w:spacing w:val="15"/>
          <w:sz w:val="24"/>
          <w:highlight w:val="none"/>
          <w:u w:val="single"/>
          <w:shd w:val="clear" w:color="auto" w:fill="auto"/>
        </w:rPr>
        <w:t xml:space="preserve">   </w:t>
      </w:r>
      <w:r>
        <w:rPr>
          <w:rFonts w:hint="eastAsia" w:ascii="宋体" w:hAnsi="宋体" w:cs="宋体"/>
          <w:spacing w:val="4"/>
          <w:sz w:val="24"/>
          <w:highlight w:val="none"/>
          <w:shd w:val="clear" w:color="auto" w:fill="auto"/>
        </w:rPr>
        <w:t>个工作日内自行将货</w:t>
      </w:r>
      <w:r>
        <w:rPr>
          <w:rFonts w:hint="eastAsia" w:ascii="宋体" w:hAnsi="宋体" w:cs="宋体"/>
          <w:sz w:val="24"/>
          <w:highlight w:val="none"/>
          <w:shd w:val="clear" w:color="auto" w:fill="auto"/>
        </w:rPr>
        <w:t xml:space="preserve"> 款直接支付给乙方。</w:t>
      </w:r>
    </w:p>
    <w:p w14:paraId="7CE5BA5F">
      <w:pPr>
        <w:pStyle w:val="5"/>
        <w:keepNext w:val="0"/>
        <w:keepLines w:val="0"/>
        <w:pageBreakBefore w:val="0"/>
        <w:widowControl w:val="0"/>
        <w:kinsoku/>
        <w:wordWrap/>
        <w:overflowPunct/>
        <w:topLinePunct w:val="0"/>
        <w:autoSpaceDE/>
        <w:autoSpaceDN/>
        <w:bidi w:val="0"/>
        <w:adjustRightInd/>
        <w:snapToGrid/>
        <w:spacing w:before="30" w:line="320" w:lineRule="exact"/>
        <w:textAlignment w:val="auto"/>
        <w:rPr>
          <w:rFonts w:hint="eastAsia" w:ascii="宋体" w:hAnsi="宋体" w:cs="宋体"/>
          <w:spacing w:val="3"/>
          <w:sz w:val="24"/>
          <w:highlight w:val="none"/>
          <w:shd w:val="clear" w:color="auto" w:fill="auto"/>
        </w:rPr>
      </w:pPr>
      <w:r>
        <w:rPr>
          <w:rFonts w:hint="eastAsia" w:ascii="宋体" w:hAnsi="宋体" w:cs="宋体"/>
          <w:spacing w:val="3"/>
          <w:sz w:val="24"/>
          <w:highlight w:val="none"/>
          <w:shd w:val="clear" w:color="auto" w:fill="auto"/>
        </w:rPr>
        <w:t>2、未实行国库集中支付改革的单位：由甲方在货物验收合格后</w:t>
      </w:r>
      <w:r>
        <w:rPr>
          <w:rFonts w:hint="eastAsia" w:ascii="宋体" w:hAnsi="宋体" w:cs="宋体"/>
          <w:color w:val="FF0000"/>
          <w:spacing w:val="4"/>
          <w:sz w:val="24"/>
          <w:highlight w:val="none"/>
          <w:u w:val="single"/>
          <w:shd w:val="clear" w:color="auto" w:fill="auto"/>
          <w:lang w:val="en-US" w:eastAsia="zh-CN"/>
        </w:rPr>
        <w:t>/</w:t>
      </w:r>
      <w:r>
        <w:rPr>
          <w:rFonts w:hint="eastAsia" w:ascii="宋体" w:hAnsi="宋体" w:cs="宋体"/>
          <w:color w:val="FF0000"/>
          <w:spacing w:val="19"/>
          <w:w w:val="101"/>
          <w:sz w:val="24"/>
          <w:highlight w:val="none"/>
          <w:u w:val="single"/>
          <w:shd w:val="clear" w:color="auto" w:fill="auto"/>
        </w:rPr>
        <w:t xml:space="preserve"> </w:t>
      </w:r>
      <w:r>
        <w:rPr>
          <w:rFonts w:hint="eastAsia" w:ascii="宋体" w:hAnsi="宋体" w:cs="宋体"/>
          <w:spacing w:val="20"/>
          <w:sz w:val="24"/>
          <w:highlight w:val="none"/>
          <w:u w:val="single"/>
          <w:shd w:val="clear" w:color="auto" w:fill="auto"/>
        </w:rPr>
        <w:t xml:space="preserve">   </w:t>
      </w:r>
      <w:r>
        <w:rPr>
          <w:rFonts w:hint="eastAsia" w:ascii="宋体" w:hAnsi="宋体" w:cs="宋体"/>
          <w:spacing w:val="3"/>
          <w:sz w:val="24"/>
          <w:highlight w:val="none"/>
          <w:shd w:val="clear" w:color="auto" w:fill="auto"/>
        </w:rPr>
        <w:t>个工作日内</w:t>
      </w:r>
    </w:p>
    <w:p w14:paraId="45609900">
      <w:pPr>
        <w:pStyle w:val="5"/>
        <w:keepNext w:val="0"/>
        <w:keepLines w:val="0"/>
        <w:pageBreakBefore w:val="0"/>
        <w:widowControl w:val="0"/>
        <w:kinsoku/>
        <w:wordWrap/>
        <w:overflowPunct/>
        <w:topLinePunct w:val="0"/>
        <w:autoSpaceDE/>
        <w:autoSpaceDN/>
        <w:bidi w:val="0"/>
        <w:adjustRightInd/>
        <w:snapToGrid/>
        <w:spacing w:before="30" w:line="320" w:lineRule="exact"/>
        <w:textAlignment w:val="auto"/>
        <w:rPr>
          <w:rFonts w:hint="eastAsia" w:ascii="宋体" w:hAnsi="宋体" w:cs="宋体"/>
          <w:sz w:val="24"/>
          <w:highlight w:val="none"/>
          <w:shd w:val="clear" w:color="auto" w:fill="auto"/>
        </w:rPr>
      </w:pPr>
      <w:r>
        <w:rPr>
          <w:rFonts w:hint="eastAsia" w:ascii="宋体" w:hAnsi="宋体" w:cs="宋体"/>
          <w:spacing w:val="3"/>
          <w:sz w:val="24"/>
          <w:highlight w:val="none"/>
          <w:shd w:val="clear" w:color="auto" w:fill="auto"/>
        </w:rPr>
        <w:t>自行将货款直接支付给乙方。</w:t>
      </w:r>
    </w:p>
    <w:p w14:paraId="38FF8CBD">
      <w:pPr>
        <w:pStyle w:val="5"/>
        <w:keepNext w:val="0"/>
        <w:keepLines w:val="0"/>
        <w:pageBreakBefore w:val="0"/>
        <w:widowControl w:val="0"/>
        <w:kinsoku/>
        <w:wordWrap/>
        <w:overflowPunct/>
        <w:topLinePunct w:val="0"/>
        <w:autoSpaceDE/>
        <w:autoSpaceDN/>
        <w:bidi w:val="0"/>
        <w:adjustRightInd/>
        <w:snapToGrid/>
        <w:spacing w:before="30" w:line="320" w:lineRule="exact"/>
        <w:ind w:right="247"/>
        <w:textAlignment w:val="auto"/>
        <w:rPr>
          <w:rFonts w:hint="eastAsia" w:ascii="宋体" w:hAnsi="宋体" w:eastAsia="宋体" w:cs="宋体"/>
          <w:spacing w:val="4"/>
          <w:sz w:val="24"/>
          <w:highlight w:val="none"/>
          <w:shd w:val="clear" w:color="auto" w:fill="auto"/>
        </w:rPr>
      </w:pPr>
      <w:r>
        <w:rPr>
          <w:rFonts w:hint="eastAsia" w:ascii="宋体" w:hAnsi="宋体" w:cs="宋体"/>
          <w:spacing w:val="4"/>
          <w:sz w:val="24"/>
          <w:highlight w:val="none"/>
          <w:shd w:val="clear" w:color="auto" w:fill="auto"/>
        </w:rPr>
        <w:t>3、甲方付款前，乙方应向甲方开具等额有效的增值税发票，甲方未收到发票的，有权不予支付相应款项直至乙方提供合格发票，并不承担延迟付款责任。发票认证通</w:t>
      </w:r>
      <w:r>
        <w:rPr>
          <w:rFonts w:hint="eastAsia" w:ascii="宋体" w:hAnsi="宋体" w:eastAsia="宋体" w:cs="宋体"/>
          <w:spacing w:val="4"/>
          <w:sz w:val="24"/>
          <w:highlight w:val="none"/>
          <w:shd w:val="clear" w:color="auto" w:fill="auto"/>
        </w:rPr>
        <w:t>过是付款的必要前提之一。</w:t>
      </w:r>
    </w:p>
    <w:p w14:paraId="26FDD7D8">
      <w:pPr>
        <w:pStyle w:val="5"/>
        <w:keepNext w:val="0"/>
        <w:keepLines w:val="0"/>
        <w:pageBreakBefore w:val="0"/>
        <w:widowControl w:val="0"/>
        <w:kinsoku/>
        <w:wordWrap/>
        <w:overflowPunct/>
        <w:topLinePunct w:val="0"/>
        <w:autoSpaceDE/>
        <w:autoSpaceDN/>
        <w:bidi w:val="0"/>
        <w:adjustRightInd/>
        <w:snapToGrid/>
        <w:spacing w:before="30" w:line="320" w:lineRule="exact"/>
        <w:ind w:right="247"/>
        <w:textAlignment w:val="auto"/>
        <w:rPr>
          <w:rFonts w:hint="eastAsia" w:ascii="宋体" w:hAnsi="宋体" w:eastAsia="宋体" w:cs="宋体"/>
          <w:spacing w:val="4"/>
          <w:sz w:val="24"/>
          <w:highlight w:val="none"/>
          <w:shd w:val="clear" w:color="auto" w:fill="auto"/>
        </w:rPr>
      </w:pPr>
      <w:r>
        <w:rPr>
          <w:rFonts w:hint="eastAsia" w:ascii="宋体" w:hAnsi="宋体" w:eastAsia="宋体" w:cs="宋体"/>
          <w:color w:val="FF0000"/>
          <w:spacing w:val="4"/>
          <w:sz w:val="24"/>
          <w:highlight w:val="none"/>
          <w:shd w:val="clear" w:color="auto" w:fill="auto"/>
        </w:rPr>
        <w:t>4、</w:t>
      </w:r>
      <w:r>
        <w:rPr>
          <w:rFonts w:hint="eastAsia" w:ascii="宋体" w:hAnsi="宋体" w:eastAsia="宋体" w:cs="宋体"/>
          <w:color w:val="FF0000"/>
          <w:spacing w:val="4"/>
          <w:sz w:val="24"/>
          <w:highlight w:val="none"/>
          <w:shd w:val="clear" w:color="auto" w:fill="auto"/>
          <w:lang w:val="en-US" w:eastAsia="zh-CN"/>
        </w:rPr>
        <w:t>付款方式：</w:t>
      </w:r>
      <w:r>
        <w:rPr>
          <w:rFonts w:hint="eastAsia" w:ascii="宋体" w:hAnsi="宋体" w:eastAsia="宋体" w:cs="宋体"/>
          <w:color w:val="FF0000"/>
          <w:spacing w:val="4"/>
          <w:sz w:val="24"/>
          <w:highlight w:val="none"/>
          <w:shd w:val="clear" w:color="auto" w:fill="auto"/>
        </w:rPr>
        <w:t>一次性付款，先经</w:t>
      </w:r>
      <w:r>
        <w:rPr>
          <w:rFonts w:hint="eastAsia" w:ascii="宋体" w:hAnsi="宋体" w:eastAsia="宋体" w:cs="宋体"/>
          <w:color w:val="FF0000"/>
          <w:spacing w:val="4"/>
          <w:sz w:val="24"/>
          <w:highlight w:val="none"/>
          <w:shd w:val="clear" w:color="auto" w:fill="auto"/>
          <w:lang w:val="en-US" w:eastAsia="zh-CN"/>
        </w:rPr>
        <w:t>双方</w:t>
      </w:r>
      <w:r>
        <w:rPr>
          <w:rFonts w:hint="eastAsia" w:ascii="宋体" w:hAnsi="宋体" w:eastAsia="宋体" w:cs="宋体"/>
          <w:color w:val="FF0000"/>
          <w:spacing w:val="4"/>
          <w:sz w:val="24"/>
          <w:highlight w:val="none"/>
          <w:shd w:val="clear" w:color="auto" w:fill="auto"/>
        </w:rPr>
        <w:t>验收合格</w:t>
      </w:r>
      <w:r>
        <w:rPr>
          <w:rFonts w:hint="eastAsia" w:ascii="宋体" w:hAnsi="宋体" w:eastAsia="宋体" w:cs="宋体"/>
          <w:color w:val="FF0000"/>
          <w:spacing w:val="4"/>
          <w:sz w:val="24"/>
          <w:highlight w:val="none"/>
          <w:shd w:val="clear" w:color="auto" w:fill="auto"/>
          <w:lang w:eastAsia="zh-CN"/>
        </w:rPr>
        <w:t>，</w:t>
      </w:r>
      <w:r>
        <w:rPr>
          <w:rFonts w:hint="eastAsia" w:ascii="宋体" w:hAnsi="宋体" w:eastAsia="宋体" w:cs="宋体"/>
          <w:color w:val="FF0000"/>
          <w:spacing w:val="4"/>
          <w:sz w:val="24"/>
          <w:highlight w:val="none"/>
          <w:shd w:val="clear" w:color="auto" w:fill="auto"/>
          <w:lang w:val="en-US" w:eastAsia="zh-CN"/>
        </w:rPr>
        <w:t>乙方</w:t>
      </w:r>
      <w:r>
        <w:rPr>
          <w:rFonts w:hint="eastAsia" w:ascii="宋体" w:hAnsi="宋体" w:eastAsia="宋体" w:cs="宋体"/>
          <w:color w:val="FF0000"/>
          <w:spacing w:val="4"/>
          <w:sz w:val="24"/>
          <w:highlight w:val="none"/>
          <w:shd w:val="clear" w:color="auto" w:fill="auto"/>
        </w:rPr>
        <w:t>提供采购货物等额的合法增值税发票给予甲方作为付款依据，甲方在收到乙方提交的等额合规增值税发票后在</w:t>
      </w:r>
      <w:r>
        <w:rPr>
          <w:rFonts w:hint="eastAsia" w:ascii="宋体" w:hAnsi="宋体" w:eastAsia="宋体" w:cs="宋体"/>
          <w:color w:val="FF0000"/>
          <w:spacing w:val="4"/>
          <w:sz w:val="24"/>
          <w:highlight w:val="none"/>
          <w:u w:val="single"/>
          <w:shd w:val="clear" w:color="auto" w:fill="auto"/>
        </w:rPr>
        <w:t xml:space="preserve"> 10 个工作日</w:t>
      </w:r>
      <w:r>
        <w:rPr>
          <w:rFonts w:hint="eastAsia" w:ascii="宋体" w:hAnsi="宋体" w:eastAsia="宋体" w:cs="宋体"/>
          <w:color w:val="FF0000"/>
          <w:spacing w:val="4"/>
          <w:sz w:val="24"/>
          <w:highlight w:val="none"/>
          <w:shd w:val="clear" w:color="auto" w:fill="auto"/>
        </w:rPr>
        <w:t>内向乙方支付</w:t>
      </w:r>
      <w:r>
        <w:rPr>
          <w:rFonts w:hint="eastAsia" w:ascii="宋体" w:hAnsi="宋体" w:eastAsia="宋体" w:cs="宋体"/>
          <w:color w:val="FF0000"/>
          <w:spacing w:val="4"/>
          <w:sz w:val="24"/>
          <w:highlight w:val="none"/>
          <w:shd w:val="clear" w:color="auto" w:fill="auto"/>
          <w:lang w:val="en-US" w:eastAsia="zh-CN"/>
        </w:rPr>
        <w:t>货款</w:t>
      </w:r>
      <w:r>
        <w:rPr>
          <w:rFonts w:hint="eastAsia" w:ascii="宋体" w:hAnsi="宋体" w:eastAsia="宋体" w:cs="宋体"/>
          <w:color w:val="FF0000"/>
          <w:spacing w:val="4"/>
          <w:sz w:val="24"/>
          <w:highlight w:val="none"/>
          <w:shd w:val="clear" w:color="auto" w:fill="auto"/>
        </w:rPr>
        <w:t>。</w:t>
      </w:r>
    </w:p>
    <w:p w14:paraId="2901A8FD">
      <w:pPr>
        <w:pStyle w:val="5"/>
        <w:pageBreakBefore w:val="0"/>
        <w:widowControl w:val="0"/>
        <w:kinsoku/>
        <w:wordWrap/>
        <w:overflowPunct/>
        <w:topLinePunct w:val="0"/>
        <w:autoSpaceDE/>
        <w:autoSpaceDN/>
        <w:bidi w:val="0"/>
        <w:adjustRightInd/>
        <w:snapToGrid/>
        <w:spacing w:before="263" w:line="320" w:lineRule="atLeast"/>
        <w:ind w:left="408"/>
        <w:textAlignment w:val="auto"/>
        <w:outlineLvl w:val="0"/>
        <w:rPr>
          <w:rFonts w:hint="eastAsia" w:ascii="宋体" w:hAnsi="宋体" w:cs="宋体"/>
          <w:sz w:val="24"/>
          <w:highlight w:val="none"/>
          <w:shd w:val="clear" w:color="auto" w:fill="auto"/>
        </w:rPr>
      </w:pPr>
      <w:r>
        <w:rPr>
          <w:rFonts w:hint="eastAsia" w:ascii="宋体" w:hAnsi="宋体" w:cs="宋体"/>
          <w:b/>
          <w:bCs/>
          <w:spacing w:val="1"/>
          <w:sz w:val="24"/>
          <w:highlight w:val="none"/>
          <w:shd w:val="clear" w:color="auto" w:fill="auto"/>
        </w:rPr>
        <w:t>四、履约保证金（如有）</w:t>
      </w:r>
    </w:p>
    <w:p w14:paraId="2C5BBF52">
      <w:pPr>
        <w:pStyle w:val="5"/>
        <w:pageBreakBefore w:val="0"/>
        <w:widowControl w:val="0"/>
        <w:kinsoku/>
        <w:wordWrap/>
        <w:overflowPunct/>
        <w:topLinePunct w:val="0"/>
        <w:autoSpaceDE/>
        <w:autoSpaceDN/>
        <w:bidi w:val="0"/>
        <w:adjustRightInd/>
        <w:snapToGrid/>
        <w:spacing w:before="2" w:line="320" w:lineRule="atLeast"/>
        <w:textAlignment w:val="auto"/>
        <w:rPr>
          <w:rFonts w:hint="eastAsia" w:ascii="宋体" w:hAnsi="宋体" w:cs="宋体"/>
          <w:sz w:val="24"/>
        </w:rPr>
      </w:pPr>
      <w:r>
        <w:rPr>
          <w:rFonts w:hint="eastAsia" w:ascii="宋体" w:hAnsi="宋体" w:cs="宋体"/>
          <w:spacing w:val="3"/>
          <w:sz w:val="24"/>
          <w:highlight w:val="none"/>
        </w:rPr>
        <w:t xml:space="preserve">1、本合同签订后 </w:t>
      </w:r>
      <w:r>
        <w:rPr>
          <w:rFonts w:hint="eastAsia" w:ascii="宋体" w:hAnsi="宋体" w:cs="宋体"/>
          <w:spacing w:val="3"/>
          <w:sz w:val="24"/>
          <w:highlight w:val="none"/>
          <w:u w:val="single"/>
        </w:rPr>
        <w:t xml:space="preserve">   </w:t>
      </w:r>
      <w:r>
        <w:rPr>
          <w:rFonts w:hint="eastAsia" w:ascii="宋体" w:hAnsi="宋体" w:cs="宋体"/>
          <w:color w:val="FF0000"/>
          <w:spacing w:val="4"/>
          <w:sz w:val="24"/>
          <w:highlight w:val="none"/>
          <w:u w:val="single"/>
          <w:lang w:val="en-US" w:eastAsia="zh-CN"/>
        </w:rPr>
        <w:t>/</w:t>
      </w:r>
      <w:r>
        <w:rPr>
          <w:rFonts w:hint="eastAsia" w:ascii="宋体" w:hAnsi="宋体" w:cs="宋体"/>
          <w:color w:val="FF0000"/>
          <w:spacing w:val="19"/>
          <w:w w:val="101"/>
          <w:sz w:val="24"/>
          <w:highlight w:val="none"/>
          <w:u w:val="single"/>
        </w:rPr>
        <w:t xml:space="preserve"> </w:t>
      </w:r>
      <w:r>
        <w:rPr>
          <w:rFonts w:hint="eastAsia" w:ascii="宋体" w:hAnsi="宋体" w:cs="宋体"/>
          <w:spacing w:val="3"/>
          <w:sz w:val="24"/>
          <w:highlight w:val="none"/>
          <w:u w:val="single"/>
        </w:rPr>
        <w:t xml:space="preserve">  个</w:t>
      </w:r>
      <w:r>
        <w:rPr>
          <w:rFonts w:hint="eastAsia" w:ascii="宋体" w:hAnsi="宋体" w:cs="宋体"/>
          <w:spacing w:val="3"/>
          <w:sz w:val="24"/>
          <w:highlight w:val="none"/>
        </w:rPr>
        <w:t>工作日内，乙方应向</w:t>
      </w:r>
      <w:r>
        <w:rPr>
          <w:rFonts w:hint="eastAsia" w:ascii="宋体" w:hAnsi="宋体" w:cs="宋体"/>
          <w:spacing w:val="3"/>
          <w:sz w:val="24"/>
        </w:rPr>
        <w:t>甲方支付合同总价</w:t>
      </w:r>
      <w:r>
        <w:rPr>
          <w:rFonts w:hint="eastAsia" w:ascii="宋体" w:hAnsi="宋体" w:cs="宋体"/>
          <w:spacing w:val="3"/>
          <w:sz w:val="24"/>
          <w:u w:val="single"/>
        </w:rPr>
        <w:t xml:space="preserve">  </w:t>
      </w:r>
      <w:r>
        <w:rPr>
          <w:rFonts w:hint="eastAsia" w:ascii="宋体" w:hAnsi="宋体" w:cs="宋体"/>
          <w:color w:val="FF0000"/>
          <w:spacing w:val="4"/>
          <w:sz w:val="24"/>
          <w:u w:val="single"/>
          <w:lang w:val="en-US" w:eastAsia="zh-CN"/>
        </w:rPr>
        <w:t>/</w:t>
      </w:r>
      <w:r>
        <w:rPr>
          <w:rFonts w:hint="eastAsia" w:ascii="宋体" w:hAnsi="宋体" w:cs="宋体"/>
          <w:color w:val="FF0000"/>
          <w:spacing w:val="19"/>
          <w:w w:val="101"/>
          <w:sz w:val="24"/>
          <w:u w:val="single"/>
        </w:rPr>
        <w:t xml:space="preserve"> </w:t>
      </w:r>
      <w:r>
        <w:rPr>
          <w:rFonts w:hint="eastAsia" w:ascii="宋体" w:hAnsi="宋体" w:cs="宋体"/>
          <w:spacing w:val="3"/>
          <w:sz w:val="24"/>
          <w:u w:val="single"/>
        </w:rPr>
        <w:t xml:space="preserve">   </w:t>
      </w:r>
      <w:r>
        <w:rPr>
          <w:rFonts w:hint="eastAsia" w:ascii="宋体" w:hAnsi="宋体" w:cs="宋体"/>
          <w:spacing w:val="-38"/>
          <w:sz w:val="24"/>
        </w:rPr>
        <w:t xml:space="preserve"> </w:t>
      </w:r>
      <w:r>
        <w:rPr>
          <w:rFonts w:hint="eastAsia" w:ascii="宋体" w:hAnsi="宋体" w:cs="宋体"/>
          <w:spacing w:val="3"/>
          <w:sz w:val="24"/>
        </w:rPr>
        <w:t>%的履约保证金，</w:t>
      </w:r>
      <w:r>
        <w:rPr>
          <w:rFonts w:hint="eastAsia" w:ascii="宋体" w:hAnsi="宋体" w:cs="宋体"/>
          <w:spacing w:val="2"/>
          <w:sz w:val="24"/>
        </w:rPr>
        <w:t>作为乙方认真履行合同条款的保证。</w:t>
      </w:r>
    </w:p>
    <w:p w14:paraId="1C1A8A70">
      <w:pPr>
        <w:pStyle w:val="5"/>
        <w:pageBreakBefore w:val="0"/>
        <w:widowControl w:val="0"/>
        <w:kinsoku/>
        <w:wordWrap/>
        <w:overflowPunct/>
        <w:topLinePunct w:val="0"/>
        <w:autoSpaceDE/>
        <w:autoSpaceDN/>
        <w:bidi w:val="0"/>
        <w:adjustRightInd/>
        <w:snapToGrid/>
        <w:spacing w:before="13" w:line="320" w:lineRule="atLeast"/>
        <w:ind w:right="322"/>
        <w:textAlignment w:val="auto"/>
        <w:rPr>
          <w:rFonts w:hint="eastAsia" w:ascii="宋体" w:hAnsi="宋体" w:cs="宋体"/>
          <w:sz w:val="24"/>
        </w:rPr>
      </w:pPr>
      <w:r>
        <w:rPr>
          <w:rFonts w:hint="eastAsia" w:ascii="宋体" w:hAnsi="宋体" w:cs="宋体"/>
          <w:spacing w:val="4"/>
          <w:sz w:val="24"/>
        </w:rPr>
        <w:t>2、乙方没有履行本合同项下约定的责任和义务所需承担的违约金、赔偿金及其他费用，甲方有权直接从履约保证金中扣除，履约保证金中不足以</w:t>
      </w:r>
      <w:r>
        <w:rPr>
          <w:rFonts w:hint="eastAsia" w:ascii="宋体" w:hAnsi="宋体" w:cs="宋体"/>
          <w:spacing w:val="9"/>
          <w:sz w:val="24"/>
        </w:rPr>
        <w:t xml:space="preserve"> </w:t>
      </w:r>
      <w:r>
        <w:rPr>
          <w:rFonts w:hint="eastAsia" w:ascii="宋体" w:hAnsi="宋体" w:cs="宋体"/>
          <w:spacing w:val="4"/>
          <w:sz w:val="24"/>
        </w:rPr>
        <w:t>扣除的，甲方有权从任何一笔货款中扣除。</w:t>
      </w:r>
      <w:r>
        <w:rPr>
          <w:rFonts w:hint="eastAsia" w:ascii="宋体" w:hAnsi="宋体" w:cs="宋体"/>
          <w:spacing w:val="3"/>
          <w:sz w:val="24"/>
        </w:rPr>
        <w:t xml:space="preserve">剩余履约保证金（如有）自 </w:t>
      </w:r>
      <w:r>
        <w:rPr>
          <w:rFonts w:hint="eastAsia" w:ascii="宋体" w:hAnsi="宋体" w:cs="宋体"/>
          <w:spacing w:val="3"/>
          <w:sz w:val="24"/>
          <w:u w:val="single"/>
        </w:rPr>
        <w:t>合同约定的质保期届满后</w:t>
      </w:r>
      <w:r>
        <w:rPr>
          <w:rFonts w:hint="eastAsia" w:ascii="宋体" w:hAnsi="宋体" w:cs="宋体"/>
          <w:spacing w:val="17"/>
          <w:sz w:val="24"/>
        </w:rPr>
        <w:t xml:space="preserve"> </w:t>
      </w:r>
      <w:r>
        <w:rPr>
          <w:rFonts w:hint="eastAsia" w:ascii="宋体" w:hAnsi="宋体" w:cs="宋体"/>
          <w:spacing w:val="3"/>
          <w:sz w:val="24"/>
        </w:rPr>
        <w:t>由甲方无息返还给乙方。</w:t>
      </w:r>
    </w:p>
    <w:p w14:paraId="72B0AD68">
      <w:pPr>
        <w:pStyle w:val="5"/>
        <w:pageBreakBefore w:val="0"/>
        <w:widowControl w:val="0"/>
        <w:kinsoku/>
        <w:wordWrap/>
        <w:overflowPunct/>
        <w:topLinePunct w:val="0"/>
        <w:autoSpaceDE/>
        <w:autoSpaceDN/>
        <w:bidi w:val="0"/>
        <w:adjustRightInd/>
        <w:snapToGrid/>
        <w:spacing w:before="1" w:line="320" w:lineRule="atLeast"/>
        <w:textAlignment w:val="auto"/>
        <w:rPr>
          <w:rFonts w:hint="eastAsia" w:ascii="宋体" w:hAnsi="宋体" w:cs="宋体"/>
          <w:sz w:val="24"/>
        </w:rPr>
      </w:pPr>
      <w:r>
        <w:rPr>
          <w:rFonts w:hint="eastAsia" w:ascii="宋体" w:hAnsi="宋体" w:cs="宋体"/>
          <w:sz w:val="24"/>
        </w:rPr>
        <w:t>3、</w:t>
      </w:r>
      <w:r>
        <w:rPr>
          <w:rFonts w:hint="eastAsia" w:ascii="宋体" w:hAnsi="宋体" w:cs="宋体"/>
          <w:sz w:val="24"/>
          <w:u w:val="single"/>
        </w:rPr>
        <w:t xml:space="preserve">  </w:t>
      </w:r>
      <w:r>
        <w:rPr>
          <w:rFonts w:hint="eastAsia" w:ascii="宋体" w:hAnsi="宋体" w:cs="宋体"/>
          <w:color w:val="FF0000"/>
          <w:spacing w:val="4"/>
          <w:sz w:val="24"/>
          <w:u w:val="single"/>
          <w:lang w:val="en-US" w:eastAsia="zh-CN"/>
        </w:rPr>
        <w:t>/</w:t>
      </w:r>
      <w:r>
        <w:rPr>
          <w:rFonts w:hint="eastAsia" w:ascii="宋体" w:hAnsi="宋体" w:cs="宋体"/>
          <w:color w:val="FF0000"/>
          <w:spacing w:val="19"/>
          <w:w w:val="101"/>
          <w:sz w:val="24"/>
          <w:u w:val="single"/>
        </w:rPr>
        <w:t xml:space="preserve"> </w:t>
      </w:r>
      <w:r>
        <w:rPr>
          <w:rFonts w:hint="eastAsia" w:ascii="宋体" w:hAnsi="宋体" w:cs="宋体"/>
          <w:sz w:val="24"/>
          <w:u w:val="single"/>
        </w:rPr>
        <w:t xml:space="preserve">                    </w:t>
      </w:r>
    </w:p>
    <w:p w14:paraId="607DFC3C">
      <w:pPr>
        <w:pStyle w:val="5"/>
        <w:pageBreakBefore w:val="0"/>
        <w:widowControl w:val="0"/>
        <w:kinsoku/>
        <w:wordWrap/>
        <w:overflowPunct/>
        <w:topLinePunct w:val="0"/>
        <w:autoSpaceDE/>
        <w:autoSpaceDN/>
        <w:bidi w:val="0"/>
        <w:adjustRightInd/>
        <w:snapToGrid/>
        <w:spacing w:before="243" w:line="320" w:lineRule="atLeast"/>
        <w:ind w:left="402"/>
        <w:textAlignment w:val="auto"/>
        <w:outlineLvl w:val="0"/>
        <w:rPr>
          <w:rFonts w:hint="eastAsia" w:ascii="宋体" w:hAnsi="宋体" w:cs="宋体"/>
          <w:sz w:val="24"/>
        </w:rPr>
      </w:pPr>
      <w:r>
        <w:rPr>
          <w:rFonts w:hint="eastAsia" w:ascii="宋体" w:hAnsi="宋体" w:cs="宋体"/>
          <w:b/>
          <w:bCs/>
          <w:spacing w:val="4"/>
          <w:sz w:val="24"/>
        </w:rPr>
        <w:t>五、货物包装与交付</w:t>
      </w:r>
    </w:p>
    <w:p w14:paraId="7C2E0C82">
      <w:pPr>
        <w:pStyle w:val="5"/>
        <w:pageBreakBefore w:val="0"/>
        <w:widowControl w:val="0"/>
        <w:kinsoku/>
        <w:wordWrap/>
        <w:overflowPunct/>
        <w:topLinePunct w:val="0"/>
        <w:autoSpaceDE/>
        <w:autoSpaceDN/>
        <w:bidi w:val="0"/>
        <w:adjustRightInd/>
        <w:snapToGrid/>
        <w:spacing w:before="29" w:line="320" w:lineRule="atLeast"/>
        <w:ind w:right="329"/>
        <w:textAlignment w:val="auto"/>
        <w:rPr>
          <w:rFonts w:hint="eastAsia" w:ascii="宋体" w:hAnsi="宋体" w:cs="宋体"/>
          <w:sz w:val="24"/>
        </w:rPr>
      </w:pPr>
      <w:r>
        <w:rPr>
          <w:rFonts w:hint="eastAsia" w:ascii="宋体" w:hAnsi="宋体" w:cs="宋体"/>
          <w:spacing w:val="4"/>
          <w:sz w:val="24"/>
        </w:rPr>
        <w:t>1、货物的包装应适于长途运输和反复装卸，并且乙方应根据货物不同的特性和要求采取防潮、防雨、防锈、防震、防腐等保护措施</w:t>
      </w:r>
      <w:r>
        <w:rPr>
          <w:rFonts w:hint="eastAsia" w:ascii="宋体" w:hAnsi="宋体" w:cs="宋体"/>
          <w:spacing w:val="3"/>
          <w:sz w:val="24"/>
        </w:rPr>
        <w:t>，以保证货物安全无损地到达甲方指定地点。乙方将承担因包装不当导致交付的合同标的物受损的责任。</w:t>
      </w:r>
    </w:p>
    <w:p w14:paraId="0F7A2745">
      <w:pPr>
        <w:pStyle w:val="5"/>
        <w:pageBreakBefore w:val="0"/>
        <w:widowControl w:val="0"/>
        <w:kinsoku/>
        <w:wordWrap/>
        <w:overflowPunct/>
        <w:topLinePunct w:val="0"/>
        <w:autoSpaceDE/>
        <w:autoSpaceDN/>
        <w:bidi w:val="0"/>
        <w:adjustRightInd/>
        <w:snapToGrid/>
        <w:spacing w:before="30" w:line="320" w:lineRule="atLeast"/>
        <w:ind w:right="275"/>
        <w:textAlignment w:val="auto"/>
        <w:rPr>
          <w:rFonts w:hint="eastAsia" w:ascii="宋体" w:hAnsi="宋体" w:cs="宋体"/>
          <w:sz w:val="24"/>
          <w:highlight w:val="none"/>
        </w:rPr>
      </w:pPr>
      <w:r>
        <w:rPr>
          <w:rFonts w:hint="eastAsia" w:ascii="宋体" w:hAnsi="宋体" w:cs="宋体"/>
          <w:spacing w:val="3"/>
          <w:sz w:val="24"/>
        </w:rPr>
        <w:t>2、乙方</w:t>
      </w:r>
      <w:r>
        <w:rPr>
          <w:rFonts w:hint="eastAsia" w:ascii="宋体" w:hAnsi="宋体" w:cs="宋体"/>
          <w:spacing w:val="3"/>
          <w:sz w:val="24"/>
          <w:highlight w:val="none"/>
        </w:rPr>
        <w:t>在交付产品的同时需向甲方提供有关货物的附随资料，包括但不限于：</w:t>
      </w:r>
      <w:r>
        <w:rPr>
          <w:rFonts w:hint="eastAsia" w:ascii="宋体" w:hAnsi="宋体" w:cs="宋体"/>
          <w:spacing w:val="3"/>
          <w:sz w:val="24"/>
          <w:highlight w:val="none"/>
          <w:u w:val="single"/>
        </w:rPr>
        <w:t>商品目录、安装</w:t>
      </w:r>
      <w:r>
        <w:rPr>
          <w:rFonts w:hint="eastAsia" w:ascii="宋体" w:hAnsi="宋体" w:cs="宋体"/>
          <w:spacing w:val="2"/>
          <w:sz w:val="24"/>
          <w:highlight w:val="none"/>
          <w:u w:val="single"/>
        </w:rPr>
        <w:t>图纸、使用说明书、质量证明及其他技术资料（如</w:t>
      </w:r>
      <w:r>
        <w:rPr>
          <w:rFonts w:hint="eastAsia" w:ascii="宋体" w:hAnsi="宋体" w:cs="宋体"/>
          <w:spacing w:val="-16"/>
          <w:sz w:val="24"/>
          <w:highlight w:val="none"/>
          <w:u w:val="single"/>
        </w:rPr>
        <w:t>有）</w:t>
      </w:r>
      <w:r>
        <w:rPr>
          <w:rFonts w:hint="eastAsia" w:ascii="宋体" w:hAnsi="宋体" w:cs="宋体"/>
          <w:spacing w:val="5"/>
          <w:sz w:val="24"/>
          <w:highlight w:val="none"/>
          <w:u w:val="single"/>
        </w:rPr>
        <w:t xml:space="preserve">  </w:t>
      </w:r>
      <w:r>
        <w:rPr>
          <w:rFonts w:hint="eastAsia" w:ascii="宋体" w:hAnsi="宋体" w:cs="宋体"/>
          <w:spacing w:val="-16"/>
          <w:sz w:val="24"/>
          <w:highlight w:val="none"/>
        </w:rPr>
        <w:t>。</w:t>
      </w:r>
    </w:p>
    <w:p w14:paraId="21C98BCB">
      <w:pPr>
        <w:pStyle w:val="5"/>
        <w:pageBreakBefore w:val="0"/>
        <w:widowControl w:val="0"/>
        <w:kinsoku/>
        <w:wordWrap/>
        <w:overflowPunct/>
        <w:topLinePunct w:val="0"/>
        <w:autoSpaceDE/>
        <w:autoSpaceDN/>
        <w:bidi w:val="0"/>
        <w:adjustRightInd/>
        <w:snapToGrid/>
        <w:spacing w:before="31" w:line="320" w:lineRule="atLeast"/>
        <w:textAlignment w:val="auto"/>
        <w:rPr>
          <w:rFonts w:hint="eastAsia" w:ascii="宋体" w:hAnsi="宋体" w:cs="宋体"/>
          <w:sz w:val="24"/>
          <w:highlight w:val="none"/>
        </w:rPr>
      </w:pPr>
      <w:r>
        <w:rPr>
          <w:rFonts w:hint="eastAsia" w:ascii="宋体" w:hAnsi="宋体" w:cs="宋体"/>
          <w:spacing w:val="-1"/>
          <w:sz w:val="24"/>
          <w:highlight w:val="none"/>
        </w:rPr>
        <w:t xml:space="preserve">3、交货期：  </w:t>
      </w:r>
      <w:r>
        <w:rPr>
          <w:rFonts w:hint="eastAsia" w:ascii="宋体" w:hAnsi="宋体" w:cs="宋体"/>
          <w:spacing w:val="-1"/>
          <w:sz w:val="24"/>
          <w:highlight w:val="none"/>
          <w:u w:val="single"/>
        </w:rPr>
        <w:t>采购合同签订后</w:t>
      </w:r>
      <w:r>
        <w:rPr>
          <w:rFonts w:hint="eastAsia" w:ascii="宋体" w:hAnsi="宋体" w:cs="宋体"/>
          <w:spacing w:val="-1"/>
          <w:sz w:val="24"/>
          <w:highlight w:val="none"/>
          <w:u w:val="single"/>
          <w:lang w:val="en-US" w:eastAsia="zh-CN"/>
        </w:rPr>
        <w:t>15</w:t>
      </w:r>
      <w:r>
        <w:rPr>
          <w:rFonts w:hint="eastAsia" w:ascii="宋体" w:hAnsi="宋体" w:cs="宋体"/>
          <w:spacing w:val="-1"/>
          <w:sz w:val="24"/>
          <w:highlight w:val="none"/>
          <w:u w:val="single"/>
        </w:rPr>
        <w:t xml:space="preserve">个日历日内交货                 </w:t>
      </w:r>
    </w:p>
    <w:p w14:paraId="7AAC88EB">
      <w:pPr>
        <w:pStyle w:val="5"/>
        <w:pageBreakBefore w:val="0"/>
        <w:widowControl w:val="0"/>
        <w:kinsoku/>
        <w:wordWrap/>
        <w:overflowPunct/>
        <w:topLinePunct w:val="0"/>
        <w:autoSpaceDE/>
        <w:autoSpaceDN/>
        <w:bidi w:val="0"/>
        <w:adjustRightInd/>
        <w:snapToGrid/>
        <w:spacing w:before="31" w:line="320" w:lineRule="atLeast"/>
        <w:textAlignment w:val="auto"/>
        <w:rPr>
          <w:rFonts w:hint="eastAsia" w:ascii="宋体" w:hAnsi="宋体" w:cs="宋体"/>
          <w:sz w:val="24"/>
          <w:highlight w:val="none"/>
        </w:rPr>
      </w:pPr>
      <w:r>
        <w:rPr>
          <w:rFonts w:hint="eastAsia" w:ascii="宋体" w:hAnsi="宋体" w:cs="宋体"/>
          <w:spacing w:val="-9"/>
          <w:sz w:val="24"/>
          <w:highlight w:val="none"/>
        </w:rPr>
        <w:t>4、交货方式：</w:t>
      </w:r>
      <w:r>
        <w:rPr>
          <w:rFonts w:hint="eastAsia" w:ascii="宋体" w:hAnsi="宋体" w:cs="宋体"/>
          <w:color w:val="auto"/>
          <w:spacing w:val="-9"/>
          <w:sz w:val="24"/>
          <w:highlight w:val="none"/>
          <w:u w:val="single"/>
        </w:rPr>
        <w:t xml:space="preserve"> </w:t>
      </w:r>
      <w:r>
        <w:rPr>
          <w:rFonts w:hint="eastAsia" w:ascii="宋体" w:hAnsi="宋体" w:cs="宋体"/>
          <w:color w:val="auto"/>
          <w:sz w:val="24"/>
          <w:highlight w:val="none"/>
          <w:u w:val="single"/>
        </w:rPr>
        <w:t xml:space="preserve">乙方将货物送到甲方指定地点  </w:t>
      </w:r>
    </w:p>
    <w:p w14:paraId="251E2109">
      <w:pPr>
        <w:pStyle w:val="5"/>
        <w:pageBreakBefore w:val="0"/>
        <w:widowControl w:val="0"/>
        <w:kinsoku/>
        <w:wordWrap/>
        <w:overflowPunct/>
        <w:topLinePunct w:val="0"/>
        <w:autoSpaceDE/>
        <w:autoSpaceDN/>
        <w:bidi w:val="0"/>
        <w:adjustRightInd/>
        <w:snapToGrid/>
        <w:spacing w:line="320" w:lineRule="atLeast"/>
        <w:textAlignment w:val="auto"/>
        <w:rPr>
          <w:rFonts w:hint="eastAsia" w:ascii="宋体" w:hAnsi="宋体" w:cs="宋体"/>
          <w:sz w:val="24"/>
          <w:highlight w:val="none"/>
          <w:u w:val="single"/>
        </w:rPr>
      </w:pPr>
      <w:r>
        <w:rPr>
          <w:rFonts w:hint="eastAsia" w:ascii="宋体" w:hAnsi="宋体" w:cs="宋体"/>
          <w:spacing w:val="-5"/>
          <w:sz w:val="24"/>
          <w:highlight w:val="none"/>
        </w:rPr>
        <w:t>5、收货人：</w:t>
      </w:r>
      <w:r>
        <w:rPr>
          <w:rFonts w:hint="eastAsia" w:ascii="宋体" w:hAnsi="宋体" w:cs="宋体"/>
          <w:spacing w:val="7"/>
          <w:sz w:val="24"/>
          <w:highlight w:val="none"/>
          <w:u w:val="single"/>
        </w:rPr>
        <w:t xml:space="preserve">   </w:t>
      </w:r>
      <w:r>
        <w:rPr>
          <w:rFonts w:hint="eastAsia" w:ascii="宋体" w:hAnsi="宋体" w:cs="宋体"/>
          <w:spacing w:val="-5"/>
          <w:sz w:val="24"/>
          <w:highlight w:val="none"/>
          <w:u w:val="single"/>
        </w:rPr>
        <w:t xml:space="preserve">   </w:t>
      </w:r>
      <w:r>
        <w:rPr>
          <w:rFonts w:hint="eastAsia" w:ascii="宋体" w:hAnsi="宋体" w:cs="宋体"/>
          <w:spacing w:val="-5"/>
          <w:sz w:val="24"/>
          <w:highlight w:val="none"/>
        </w:rPr>
        <w:t>； 联系方式：</w:t>
      </w:r>
      <w:r>
        <w:rPr>
          <w:rFonts w:hint="eastAsia" w:ascii="宋体" w:hAnsi="宋体" w:cs="宋体"/>
          <w:sz w:val="24"/>
          <w:highlight w:val="none"/>
          <w:u w:val="single"/>
        </w:rPr>
        <w:t xml:space="preserve">        </w:t>
      </w:r>
    </w:p>
    <w:p w14:paraId="30E05BBC">
      <w:pPr>
        <w:pStyle w:val="5"/>
        <w:pageBreakBefore w:val="0"/>
        <w:widowControl w:val="0"/>
        <w:kinsoku/>
        <w:wordWrap/>
        <w:overflowPunct/>
        <w:topLinePunct w:val="0"/>
        <w:autoSpaceDE/>
        <w:autoSpaceDN/>
        <w:bidi w:val="0"/>
        <w:adjustRightInd/>
        <w:snapToGrid/>
        <w:spacing w:line="320" w:lineRule="atLeast"/>
        <w:textAlignment w:val="auto"/>
        <w:rPr>
          <w:rFonts w:hint="eastAsia" w:ascii="宋体" w:hAnsi="宋体" w:cs="宋体"/>
          <w:sz w:val="24"/>
        </w:rPr>
      </w:pPr>
      <w:r>
        <w:rPr>
          <w:rFonts w:hint="eastAsia" w:ascii="宋体" w:hAnsi="宋体" w:cs="宋体"/>
          <w:spacing w:val="1"/>
          <w:sz w:val="24"/>
          <w:highlight w:val="none"/>
        </w:rPr>
        <w:t>6、收货地址：广西壮族自治区南宁</w:t>
      </w:r>
      <w:r>
        <w:rPr>
          <w:rFonts w:hint="eastAsia" w:ascii="宋体" w:hAnsi="宋体" w:cs="宋体"/>
          <w:spacing w:val="1"/>
          <w:sz w:val="24"/>
        </w:rPr>
        <w:t>市兴宁区朝阳街道</w:t>
      </w:r>
      <w:r>
        <w:rPr>
          <w:rFonts w:hint="eastAsia" w:ascii="宋体" w:hAnsi="宋体" w:cs="宋体"/>
          <w:sz w:val="24"/>
        </w:rPr>
        <w:t>邕武路9号</w:t>
      </w:r>
    </w:p>
    <w:p w14:paraId="170907E4">
      <w:pPr>
        <w:pStyle w:val="5"/>
        <w:pageBreakBefore w:val="0"/>
        <w:widowControl w:val="0"/>
        <w:kinsoku/>
        <w:wordWrap/>
        <w:overflowPunct/>
        <w:topLinePunct w:val="0"/>
        <w:autoSpaceDE/>
        <w:autoSpaceDN/>
        <w:bidi w:val="0"/>
        <w:adjustRightInd/>
        <w:snapToGrid/>
        <w:spacing w:before="1" w:line="320" w:lineRule="atLeast"/>
        <w:textAlignment w:val="auto"/>
        <w:rPr>
          <w:rFonts w:hint="eastAsia" w:ascii="宋体" w:hAnsi="宋体" w:cs="宋体"/>
          <w:sz w:val="24"/>
        </w:rPr>
      </w:pPr>
      <w:r>
        <w:rPr>
          <w:rFonts w:hint="eastAsia" w:ascii="宋体" w:hAnsi="宋体" w:cs="宋体"/>
          <w:sz w:val="24"/>
        </w:rPr>
        <w:t>7、</w:t>
      </w:r>
      <w:r>
        <w:rPr>
          <w:rFonts w:hint="eastAsia" w:ascii="宋体" w:hAnsi="宋体" w:cs="宋体"/>
          <w:sz w:val="24"/>
          <w:u w:val="single"/>
        </w:rPr>
        <w:t xml:space="preserve">                        </w:t>
      </w:r>
    </w:p>
    <w:p w14:paraId="7DF140DF">
      <w:pPr>
        <w:pStyle w:val="5"/>
        <w:pageBreakBefore w:val="0"/>
        <w:widowControl w:val="0"/>
        <w:kinsoku/>
        <w:wordWrap/>
        <w:overflowPunct/>
        <w:topLinePunct w:val="0"/>
        <w:autoSpaceDE/>
        <w:autoSpaceDN/>
        <w:bidi w:val="0"/>
        <w:adjustRightInd/>
        <w:snapToGrid/>
        <w:spacing w:before="241" w:line="320" w:lineRule="atLeast"/>
        <w:ind w:left="401"/>
        <w:textAlignment w:val="auto"/>
        <w:outlineLvl w:val="0"/>
        <w:rPr>
          <w:rFonts w:hint="eastAsia" w:ascii="宋体" w:hAnsi="宋体" w:cs="宋体"/>
          <w:sz w:val="24"/>
        </w:rPr>
      </w:pPr>
      <w:r>
        <w:rPr>
          <w:rFonts w:hint="eastAsia" w:ascii="宋体" w:hAnsi="宋体" w:cs="宋体"/>
          <w:b/>
          <w:bCs/>
          <w:spacing w:val="4"/>
          <w:sz w:val="24"/>
        </w:rPr>
        <w:t>六、安装与验收</w:t>
      </w:r>
    </w:p>
    <w:p w14:paraId="3B54FF11">
      <w:pPr>
        <w:pStyle w:val="5"/>
        <w:pageBreakBefore w:val="0"/>
        <w:widowControl w:val="0"/>
        <w:kinsoku/>
        <w:wordWrap/>
        <w:overflowPunct/>
        <w:topLinePunct w:val="0"/>
        <w:autoSpaceDE/>
        <w:autoSpaceDN/>
        <w:bidi w:val="0"/>
        <w:adjustRightInd/>
        <w:snapToGrid/>
        <w:spacing w:before="30" w:line="320" w:lineRule="atLeast"/>
        <w:ind w:right="479"/>
        <w:textAlignment w:val="auto"/>
        <w:rPr>
          <w:rFonts w:hint="eastAsia" w:ascii="宋体" w:hAnsi="宋体" w:cs="宋体"/>
          <w:sz w:val="24"/>
        </w:rPr>
      </w:pPr>
      <w:r>
        <w:rPr>
          <w:rFonts w:hint="eastAsia" w:ascii="宋体" w:hAnsi="宋体" w:cs="宋体"/>
          <w:spacing w:val="4"/>
          <w:sz w:val="24"/>
        </w:rPr>
        <w:t>1、安装调试（如有）：乙方负责在甲方指定的时间内，按照甲方的要求完成货物的安装调试。乙方应严格遵守安全法律法规，采取安全</w:t>
      </w:r>
      <w:r>
        <w:rPr>
          <w:rFonts w:hint="eastAsia" w:ascii="宋体" w:hAnsi="宋体" w:cs="宋体"/>
          <w:spacing w:val="3"/>
          <w:sz w:val="24"/>
        </w:rPr>
        <w:t>保障措</w:t>
      </w:r>
      <w:r>
        <w:rPr>
          <w:rFonts w:hint="eastAsia" w:ascii="宋体" w:hAnsi="宋体" w:cs="宋体"/>
          <w:spacing w:val="1"/>
          <w:sz w:val="24"/>
        </w:rPr>
        <w:t xml:space="preserve"> </w:t>
      </w:r>
      <w:r>
        <w:rPr>
          <w:rFonts w:hint="eastAsia" w:ascii="宋体" w:hAnsi="宋体" w:cs="宋体"/>
          <w:spacing w:val="3"/>
          <w:sz w:val="24"/>
        </w:rPr>
        <w:t>施，保证人员安全。因乙方原因造成的人员伤亡和财产损失，均由乙方承担。</w:t>
      </w:r>
    </w:p>
    <w:p w14:paraId="655905A4">
      <w:pPr>
        <w:pStyle w:val="5"/>
        <w:pageBreakBefore w:val="0"/>
        <w:widowControl w:val="0"/>
        <w:kinsoku/>
        <w:wordWrap/>
        <w:overflowPunct/>
        <w:topLinePunct w:val="0"/>
        <w:autoSpaceDE/>
        <w:autoSpaceDN/>
        <w:bidi w:val="0"/>
        <w:adjustRightInd/>
        <w:snapToGrid/>
        <w:spacing w:before="30" w:line="320" w:lineRule="atLeast"/>
        <w:ind w:right="317"/>
        <w:textAlignment w:val="auto"/>
        <w:rPr>
          <w:rFonts w:hint="eastAsia" w:ascii="宋体" w:hAnsi="宋体" w:cs="宋体"/>
          <w:sz w:val="24"/>
        </w:rPr>
      </w:pPr>
      <w:r>
        <w:rPr>
          <w:rFonts w:hint="eastAsia" w:ascii="宋体" w:hAnsi="宋体" w:cs="宋体"/>
          <w:spacing w:val="4"/>
          <w:sz w:val="24"/>
        </w:rPr>
        <w:t xml:space="preserve">2、验收标准：详见《广西壮族自治区  广西壮族自治区预算单位“政采云”电子卖场网上超市一张网供应商征集入围项目-  </w:t>
      </w:r>
      <w:r>
        <w:rPr>
          <w:rFonts w:hint="eastAsia" w:ascii="宋体" w:hAnsi="宋体" w:cs="宋体"/>
          <w:spacing w:val="3"/>
          <w:sz w:val="24"/>
        </w:rPr>
        <w:t xml:space="preserve">  电子卖场（网上超市）项目协议书》约定的验收标准或质量要求；</w:t>
      </w:r>
    </w:p>
    <w:p w14:paraId="1C7CE88C">
      <w:pPr>
        <w:pStyle w:val="5"/>
        <w:pageBreakBefore w:val="0"/>
        <w:widowControl w:val="0"/>
        <w:kinsoku/>
        <w:wordWrap/>
        <w:overflowPunct/>
        <w:topLinePunct w:val="0"/>
        <w:autoSpaceDE/>
        <w:autoSpaceDN/>
        <w:bidi w:val="0"/>
        <w:adjustRightInd/>
        <w:snapToGrid/>
        <w:spacing w:before="29" w:line="320" w:lineRule="atLeast"/>
        <w:ind w:right="208"/>
        <w:textAlignment w:val="auto"/>
        <w:rPr>
          <w:rFonts w:hint="eastAsia" w:ascii="宋体" w:hAnsi="宋体" w:cs="宋体"/>
          <w:sz w:val="24"/>
        </w:rPr>
      </w:pPr>
      <w:r>
        <w:rPr>
          <w:rFonts w:hint="eastAsia" w:ascii="宋体" w:hAnsi="宋体" w:cs="宋体"/>
          <w:spacing w:val="4"/>
          <w:sz w:val="24"/>
        </w:rPr>
        <w:t>3、到货验收：甲方应在收到货物后</w:t>
      </w:r>
      <w:r>
        <w:rPr>
          <w:rFonts w:hint="eastAsia" w:ascii="宋体" w:hAnsi="宋体" w:cs="宋体"/>
          <w:spacing w:val="4"/>
          <w:sz w:val="24"/>
          <w:u w:val="single"/>
        </w:rPr>
        <w:t>2</w:t>
      </w:r>
      <w:r>
        <w:rPr>
          <w:rFonts w:hint="eastAsia" w:ascii="宋体" w:hAnsi="宋体" w:cs="宋体"/>
          <w:spacing w:val="17"/>
          <w:sz w:val="24"/>
          <w:u w:val="single"/>
        </w:rPr>
        <w:t xml:space="preserve"> </w:t>
      </w:r>
      <w:r>
        <w:rPr>
          <w:rFonts w:hint="eastAsia" w:ascii="宋体" w:hAnsi="宋体" w:cs="宋体"/>
          <w:spacing w:val="4"/>
          <w:sz w:val="24"/>
        </w:rPr>
        <w:t>个工作日内进行到货验收。甲方仅对产品的数量和外观进行检验，并不因此减轻或免除乙方所应承担的质量</w:t>
      </w:r>
      <w:r>
        <w:rPr>
          <w:rFonts w:hint="eastAsia" w:ascii="宋体" w:hAnsi="宋体" w:cs="宋体"/>
          <w:spacing w:val="1"/>
          <w:sz w:val="24"/>
        </w:rPr>
        <w:t xml:space="preserve"> </w:t>
      </w:r>
      <w:r>
        <w:rPr>
          <w:rFonts w:hint="eastAsia" w:ascii="宋体" w:hAnsi="宋体" w:cs="宋体"/>
          <w:spacing w:val="-2"/>
          <w:sz w:val="24"/>
        </w:rPr>
        <w:t>保证责任。</w:t>
      </w:r>
    </w:p>
    <w:p w14:paraId="6D343DE3">
      <w:pPr>
        <w:pStyle w:val="5"/>
        <w:pageBreakBefore w:val="0"/>
        <w:widowControl w:val="0"/>
        <w:kinsoku/>
        <w:wordWrap/>
        <w:overflowPunct/>
        <w:topLinePunct w:val="0"/>
        <w:autoSpaceDE/>
        <w:autoSpaceDN/>
        <w:bidi w:val="0"/>
        <w:adjustRightInd/>
        <w:snapToGrid/>
        <w:spacing w:before="31" w:line="320" w:lineRule="atLeast"/>
        <w:textAlignment w:val="auto"/>
        <w:rPr>
          <w:rFonts w:hint="eastAsia" w:ascii="宋体" w:hAnsi="宋体" w:cs="宋体"/>
          <w:sz w:val="24"/>
          <w:highlight w:val="none"/>
        </w:rPr>
      </w:pPr>
      <w:r>
        <w:rPr>
          <w:rFonts w:hint="eastAsia" w:ascii="宋体" w:hAnsi="宋体" w:cs="宋体"/>
          <w:spacing w:val="4"/>
          <w:sz w:val="24"/>
        </w:rPr>
        <w:t>4、最终验收（如有</w:t>
      </w:r>
      <w:r>
        <w:rPr>
          <w:rFonts w:hint="eastAsia" w:ascii="宋体" w:hAnsi="宋体" w:cs="宋体"/>
          <w:spacing w:val="3"/>
          <w:sz w:val="24"/>
        </w:rPr>
        <w:t>）：</w:t>
      </w:r>
      <w:r>
        <w:rPr>
          <w:rFonts w:hint="eastAsia" w:ascii="宋体" w:hAnsi="宋体" w:cs="宋体"/>
          <w:spacing w:val="4"/>
          <w:sz w:val="24"/>
        </w:rPr>
        <w:t>安装调测完毕后，乙方应配合甲方进行最终</w:t>
      </w:r>
      <w:r>
        <w:rPr>
          <w:rFonts w:hint="eastAsia" w:ascii="宋体" w:hAnsi="宋体" w:cs="宋体"/>
          <w:spacing w:val="3"/>
          <w:sz w:val="24"/>
        </w:rPr>
        <w:t>验收，验收结果以</w:t>
      </w:r>
      <w:r>
        <w:rPr>
          <w:rFonts w:hint="eastAsia" w:ascii="宋体" w:hAnsi="宋体" w:cs="宋体"/>
          <w:spacing w:val="3"/>
          <w:sz w:val="24"/>
          <w:highlight w:val="none"/>
        </w:rPr>
        <w:t>甲方签署的验收证明为准。</w:t>
      </w:r>
    </w:p>
    <w:p w14:paraId="62A4AA4E">
      <w:pPr>
        <w:pStyle w:val="5"/>
        <w:pageBreakBefore w:val="0"/>
        <w:widowControl w:val="0"/>
        <w:kinsoku/>
        <w:wordWrap/>
        <w:overflowPunct/>
        <w:topLinePunct w:val="0"/>
        <w:autoSpaceDE/>
        <w:autoSpaceDN/>
        <w:bidi w:val="0"/>
        <w:adjustRightInd/>
        <w:snapToGrid/>
        <w:spacing w:line="320" w:lineRule="atLeast"/>
        <w:textAlignment w:val="auto"/>
        <w:rPr>
          <w:rFonts w:hint="eastAsia" w:ascii="宋体" w:hAnsi="宋体" w:cs="宋体"/>
          <w:sz w:val="24"/>
          <w:highlight w:val="none"/>
          <w:u w:val="single"/>
        </w:rPr>
      </w:pPr>
      <w:r>
        <w:rPr>
          <w:rFonts w:hint="eastAsia" w:ascii="宋体" w:hAnsi="宋体" w:cs="宋体"/>
          <w:spacing w:val="-3"/>
          <w:sz w:val="24"/>
          <w:highlight w:val="none"/>
        </w:rPr>
        <w:t>5、</w:t>
      </w:r>
      <w:r>
        <w:rPr>
          <w:rFonts w:hint="eastAsia" w:ascii="宋体" w:hAnsi="宋体" w:cs="宋体"/>
          <w:spacing w:val="15"/>
          <w:sz w:val="24"/>
          <w:highlight w:val="none"/>
          <w:u w:val="single"/>
        </w:rPr>
        <w:t xml:space="preserve"> </w:t>
      </w:r>
      <w:r>
        <w:rPr>
          <w:rFonts w:hint="eastAsia" w:ascii="宋体" w:hAnsi="宋体" w:cs="宋体"/>
          <w:spacing w:val="15"/>
          <w:sz w:val="24"/>
          <w:highlight w:val="none"/>
          <w:u w:val="single"/>
          <w:lang w:val="en-US" w:eastAsia="zh-CN"/>
        </w:rPr>
        <w:t xml:space="preserve">                     </w:t>
      </w:r>
      <w:r>
        <w:rPr>
          <w:rFonts w:hint="eastAsia" w:ascii="宋体" w:hAnsi="宋体" w:cs="宋体"/>
          <w:spacing w:val="-3"/>
          <w:sz w:val="24"/>
          <w:highlight w:val="none"/>
          <w:u w:val="single"/>
        </w:rPr>
        <w:t xml:space="preserve"> </w:t>
      </w:r>
    </w:p>
    <w:p w14:paraId="482022BA">
      <w:pPr>
        <w:pStyle w:val="5"/>
        <w:pageBreakBefore w:val="0"/>
        <w:widowControl w:val="0"/>
        <w:kinsoku/>
        <w:wordWrap/>
        <w:overflowPunct/>
        <w:topLinePunct w:val="0"/>
        <w:autoSpaceDE/>
        <w:autoSpaceDN/>
        <w:bidi w:val="0"/>
        <w:adjustRightInd/>
        <w:snapToGrid/>
        <w:spacing w:before="246" w:line="320" w:lineRule="atLeast"/>
        <w:ind w:left="402"/>
        <w:textAlignment w:val="auto"/>
        <w:outlineLvl w:val="0"/>
        <w:rPr>
          <w:rFonts w:hint="eastAsia" w:ascii="宋体" w:hAnsi="宋体" w:cs="宋体"/>
          <w:sz w:val="24"/>
          <w:highlight w:val="none"/>
        </w:rPr>
      </w:pPr>
      <w:r>
        <w:rPr>
          <w:rFonts w:hint="eastAsia" w:ascii="宋体" w:hAnsi="宋体" w:cs="宋体"/>
          <w:b/>
          <w:bCs/>
          <w:spacing w:val="3"/>
          <w:sz w:val="24"/>
          <w:highlight w:val="none"/>
        </w:rPr>
        <w:t>七、保修与售后服务</w:t>
      </w:r>
    </w:p>
    <w:p w14:paraId="7E245BC4">
      <w:pPr>
        <w:pStyle w:val="5"/>
        <w:pageBreakBefore w:val="0"/>
        <w:widowControl w:val="0"/>
        <w:kinsoku/>
        <w:wordWrap/>
        <w:overflowPunct/>
        <w:topLinePunct w:val="0"/>
        <w:autoSpaceDE/>
        <w:autoSpaceDN/>
        <w:bidi w:val="0"/>
        <w:adjustRightInd/>
        <w:snapToGrid/>
        <w:spacing w:before="31" w:line="320" w:lineRule="atLeast"/>
        <w:textAlignment w:val="auto"/>
        <w:rPr>
          <w:rFonts w:hint="eastAsia" w:ascii="宋体" w:hAnsi="宋体" w:cs="宋体"/>
          <w:sz w:val="24"/>
          <w:highlight w:val="none"/>
        </w:rPr>
      </w:pPr>
      <w:r>
        <w:rPr>
          <w:rFonts w:hint="eastAsia" w:ascii="宋体" w:hAnsi="宋体" w:cs="宋体"/>
          <w:spacing w:val="3"/>
          <w:sz w:val="24"/>
          <w:highlight w:val="none"/>
        </w:rPr>
        <w:t>1、货物质保期为</w:t>
      </w:r>
      <w:r>
        <w:rPr>
          <w:rFonts w:hint="eastAsia" w:ascii="宋体" w:hAnsi="宋体" w:cs="宋体"/>
          <w:spacing w:val="19"/>
          <w:w w:val="101"/>
          <w:sz w:val="24"/>
          <w:highlight w:val="none"/>
          <w:u w:val="single"/>
          <w:lang w:val="en-US" w:eastAsia="zh-CN"/>
        </w:rPr>
        <w:t>24个</w:t>
      </w:r>
      <w:r>
        <w:rPr>
          <w:rFonts w:hint="eastAsia" w:ascii="宋体" w:hAnsi="宋体" w:cs="宋体"/>
          <w:spacing w:val="3"/>
          <w:sz w:val="24"/>
          <w:highlight w:val="none"/>
        </w:rPr>
        <w:t>月</w:t>
      </w:r>
      <w:r>
        <w:rPr>
          <w:rFonts w:hint="eastAsia" w:ascii="宋体" w:hAnsi="宋体" w:cs="宋体"/>
          <w:spacing w:val="12"/>
          <w:w w:val="102"/>
          <w:sz w:val="24"/>
          <w:highlight w:val="none"/>
        </w:rPr>
        <w:t xml:space="preserve"> </w:t>
      </w:r>
      <w:r>
        <w:rPr>
          <w:rFonts w:hint="eastAsia" w:ascii="宋体" w:hAnsi="宋体" w:cs="宋体"/>
          <w:spacing w:val="3"/>
          <w:sz w:val="24"/>
          <w:highlight w:val="none"/>
        </w:rPr>
        <w:t xml:space="preserve">，自  </w:t>
      </w:r>
      <w:r>
        <w:rPr>
          <w:rFonts w:hint="eastAsia" w:ascii="宋体" w:hAnsi="宋体" w:cs="宋体"/>
          <w:spacing w:val="3"/>
          <w:sz w:val="24"/>
          <w:highlight w:val="none"/>
          <w:u w:val="single"/>
        </w:rPr>
        <w:t>到货验收合格或</w:t>
      </w:r>
      <w:r>
        <w:rPr>
          <w:rFonts w:hint="eastAsia" w:ascii="宋体" w:hAnsi="宋体" w:cs="宋体"/>
          <w:spacing w:val="2"/>
          <w:sz w:val="24"/>
          <w:highlight w:val="none"/>
          <w:u w:val="single"/>
        </w:rPr>
        <w:t>最终验收合格</w:t>
      </w:r>
      <w:r>
        <w:rPr>
          <w:rFonts w:hint="eastAsia" w:ascii="宋体" w:hAnsi="宋体" w:cs="宋体"/>
          <w:spacing w:val="2"/>
          <w:sz w:val="24"/>
          <w:highlight w:val="none"/>
        </w:rPr>
        <w:t xml:space="preserve"> 之日起至质保期届满且经甲方确认无任何质量问题时止。</w:t>
      </w:r>
    </w:p>
    <w:p w14:paraId="6C7B0EA6">
      <w:pPr>
        <w:pStyle w:val="5"/>
        <w:pageBreakBefore w:val="0"/>
        <w:widowControl w:val="0"/>
        <w:kinsoku/>
        <w:wordWrap/>
        <w:overflowPunct/>
        <w:topLinePunct w:val="0"/>
        <w:autoSpaceDE/>
        <w:autoSpaceDN/>
        <w:bidi w:val="0"/>
        <w:adjustRightInd/>
        <w:snapToGrid/>
        <w:spacing w:before="3" w:line="320" w:lineRule="atLeast"/>
        <w:textAlignment w:val="auto"/>
        <w:rPr>
          <w:rFonts w:hint="eastAsia" w:ascii="宋体" w:hAnsi="宋体" w:cs="宋体"/>
          <w:sz w:val="24"/>
          <w:highlight w:val="none"/>
        </w:rPr>
      </w:pPr>
      <w:r>
        <w:rPr>
          <w:rFonts w:hint="eastAsia" w:ascii="宋体" w:hAnsi="宋体" w:cs="宋体"/>
          <w:spacing w:val="2"/>
          <w:sz w:val="24"/>
          <w:highlight w:val="none"/>
        </w:rPr>
        <w:t>2、乙方承诺所售商品，自甲方收到商品之日起</w:t>
      </w:r>
      <w:r>
        <w:rPr>
          <w:rFonts w:hint="eastAsia" w:ascii="宋体" w:hAnsi="宋体" w:cs="宋体"/>
          <w:spacing w:val="2"/>
          <w:sz w:val="24"/>
          <w:highlight w:val="none"/>
          <w:u w:val="single"/>
        </w:rPr>
        <w:t xml:space="preserve"> </w:t>
      </w:r>
      <w:r>
        <w:rPr>
          <w:rFonts w:hint="eastAsia" w:ascii="宋体" w:hAnsi="宋体" w:cs="宋体"/>
          <w:spacing w:val="2"/>
          <w:sz w:val="24"/>
          <w:highlight w:val="none"/>
          <w:u w:val="single"/>
          <w:lang w:val="en-US" w:eastAsia="zh-CN"/>
        </w:rPr>
        <w:t>3</w:t>
      </w:r>
      <w:r>
        <w:rPr>
          <w:rFonts w:hint="eastAsia" w:ascii="宋体" w:hAnsi="宋体" w:cs="宋体"/>
          <w:spacing w:val="2"/>
          <w:sz w:val="24"/>
          <w:highlight w:val="none"/>
          <w:u w:val="single"/>
        </w:rPr>
        <w:t xml:space="preserve"> </w:t>
      </w:r>
      <w:r>
        <w:rPr>
          <w:rFonts w:hint="eastAsia" w:ascii="宋体" w:hAnsi="宋体" w:cs="宋体"/>
          <w:spacing w:val="2"/>
          <w:sz w:val="24"/>
          <w:highlight w:val="none"/>
        </w:rPr>
        <w:t>日内可以无理由退货</w:t>
      </w:r>
      <w:r>
        <w:rPr>
          <w:rFonts w:hint="eastAsia" w:ascii="宋体" w:hAnsi="宋体" w:cs="宋体"/>
          <w:spacing w:val="2"/>
          <w:sz w:val="24"/>
          <w:highlight w:val="none"/>
          <w:lang w:eastAsia="zh-CN"/>
        </w:rPr>
        <w:t>，</w:t>
      </w:r>
      <w:r>
        <w:rPr>
          <w:rFonts w:hint="eastAsia" w:ascii="宋体" w:hAnsi="宋体" w:cs="宋体"/>
          <w:spacing w:val="2"/>
          <w:sz w:val="24"/>
          <w:highlight w:val="none"/>
          <w:u w:val="single"/>
        </w:rPr>
        <w:t xml:space="preserve"> </w:t>
      </w:r>
      <w:r>
        <w:rPr>
          <w:rFonts w:hint="eastAsia" w:ascii="宋体" w:hAnsi="宋体" w:cs="宋体"/>
          <w:spacing w:val="2"/>
          <w:sz w:val="24"/>
          <w:highlight w:val="none"/>
          <w:u w:val="single"/>
          <w:lang w:val="en-US" w:eastAsia="zh-CN"/>
        </w:rPr>
        <w:t>2</w:t>
      </w:r>
      <w:r>
        <w:rPr>
          <w:rFonts w:hint="eastAsia" w:ascii="宋体" w:hAnsi="宋体" w:cs="宋体"/>
          <w:spacing w:val="2"/>
          <w:sz w:val="24"/>
          <w:highlight w:val="none"/>
          <w:u w:val="single"/>
        </w:rPr>
        <w:t xml:space="preserve"> </w:t>
      </w:r>
      <w:r>
        <w:rPr>
          <w:rFonts w:hint="eastAsia" w:ascii="宋体" w:hAnsi="宋体" w:cs="宋体"/>
          <w:spacing w:val="2"/>
          <w:sz w:val="24"/>
          <w:highlight w:val="none"/>
        </w:rPr>
        <w:t>日</w:t>
      </w:r>
      <w:r>
        <w:rPr>
          <w:rFonts w:hint="eastAsia" w:ascii="宋体" w:hAnsi="宋体" w:cs="宋体"/>
          <w:spacing w:val="1"/>
          <w:sz w:val="24"/>
          <w:highlight w:val="none"/>
        </w:rPr>
        <w:t>内可以换货。更换后的货物质保期应重新计算。</w:t>
      </w:r>
    </w:p>
    <w:p w14:paraId="10218130">
      <w:pPr>
        <w:pStyle w:val="5"/>
        <w:pageBreakBefore w:val="0"/>
        <w:widowControl w:val="0"/>
        <w:kinsoku/>
        <w:wordWrap/>
        <w:overflowPunct/>
        <w:topLinePunct w:val="0"/>
        <w:autoSpaceDE/>
        <w:autoSpaceDN/>
        <w:bidi w:val="0"/>
        <w:adjustRightInd/>
        <w:snapToGrid/>
        <w:spacing w:before="12" w:line="320" w:lineRule="atLeast"/>
        <w:ind w:right="278"/>
        <w:textAlignment w:val="auto"/>
        <w:rPr>
          <w:rFonts w:hint="eastAsia" w:ascii="宋体" w:hAnsi="宋体" w:cs="宋体"/>
          <w:sz w:val="24"/>
          <w:highlight w:val="none"/>
        </w:rPr>
      </w:pPr>
      <w:r>
        <w:rPr>
          <w:rFonts w:hint="eastAsia" w:ascii="宋体" w:hAnsi="宋体" w:cs="宋体"/>
          <w:spacing w:val="3"/>
          <w:sz w:val="24"/>
          <w:highlight w:val="none"/>
        </w:rPr>
        <w:t xml:space="preserve">3、质保期内，乙方应当提供 </w:t>
      </w:r>
      <w:r>
        <w:rPr>
          <w:rFonts w:hint="eastAsia" w:ascii="宋体" w:hAnsi="宋体" w:cs="宋体"/>
          <w:spacing w:val="3"/>
          <w:sz w:val="24"/>
          <w:highlight w:val="none"/>
          <w:u w:val="single"/>
        </w:rPr>
        <w:t>7×24</w:t>
      </w:r>
      <w:r>
        <w:rPr>
          <w:rFonts w:hint="eastAsia" w:ascii="宋体" w:hAnsi="宋体" w:cs="宋体"/>
          <w:position w:val="-2"/>
          <w:sz w:val="24"/>
          <w:highlight w:val="none"/>
        </w:rPr>
        <w:drawing>
          <wp:inline distT="0" distB="0" distL="114300" distR="114300">
            <wp:extent cx="29210" cy="698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29210" cy="6985"/>
                    </a:xfrm>
                    <a:prstGeom prst="rect">
                      <a:avLst/>
                    </a:prstGeom>
                    <a:noFill/>
                    <a:ln>
                      <a:noFill/>
                    </a:ln>
                  </pic:spPr>
                </pic:pic>
              </a:graphicData>
            </a:graphic>
          </wp:inline>
        </w:drawing>
      </w:r>
      <w:r>
        <w:rPr>
          <w:rFonts w:hint="eastAsia" w:ascii="宋体" w:hAnsi="宋体" w:cs="宋体"/>
          <w:spacing w:val="3"/>
          <w:sz w:val="24"/>
          <w:highlight w:val="none"/>
        </w:rPr>
        <w:t>小时电</w:t>
      </w:r>
      <w:r>
        <w:rPr>
          <w:rFonts w:hint="eastAsia" w:ascii="宋体" w:hAnsi="宋体" w:cs="宋体"/>
          <w:spacing w:val="2"/>
          <w:sz w:val="24"/>
          <w:highlight w:val="none"/>
        </w:rPr>
        <w:t>话支持服务。乙方接到甲方保修通知后</w:t>
      </w:r>
      <w:r>
        <w:rPr>
          <w:rFonts w:hint="eastAsia" w:ascii="宋体" w:hAnsi="宋体" w:cs="宋体"/>
          <w:spacing w:val="2"/>
          <w:sz w:val="24"/>
          <w:highlight w:val="none"/>
          <w:u w:val="single"/>
        </w:rPr>
        <w:t xml:space="preserve">6    </w:t>
      </w:r>
      <w:r>
        <w:rPr>
          <w:rFonts w:hint="eastAsia" w:ascii="宋体" w:hAnsi="宋体" w:cs="宋体"/>
          <w:spacing w:val="2"/>
          <w:sz w:val="24"/>
          <w:highlight w:val="none"/>
        </w:rPr>
        <w:t>个小时内响应，</w:t>
      </w:r>
      <w:r>
        <w:rPr>
          <w:rFonts w:hint="eastAsia" w:ascii="宋体" w:hAnsi="宋体" w:cs="宋体"/>
          <w:spacing w:val="2"/>
          <w:sz w:val="24"/>
          <w:highlight w:val="none"/>
          <w:u w:val="single"/>
        </w:rPr>
        <w:t xml:space="preserve"> 12 </w:t>
      </w:r>
      <w:r>
        <w:rPr>
          <w:rFonts w:hint="eastAsia" w:ascii="宋体" w:hAnsi="宋体" w:cs="宋体"/>
          <w:spacing w:val="2"/>
          <w:sz w:val="24"/>
          <w:highlight w:val="none"/>
        </w:rPr>
        <w:t>个小时内排除故障。对于质保期内不能</w:t>
      </w:r>
      <w:r>
        <w:rPr>
          <w:rFonts w:hint="eastAsia" w:ascii="宋体" w:hAnsi="宋体" w:cs="宋体"/>
          <w:spacing w:val="3"/>
          <w:sz w:val="24"/>
          <w:highlight w:val="none"/>
        </w:rPr>
        <w:t>修复的产品/部件，乙方应在</w:t>
      </w:r>
      <w:r>
        <w:rPr>
          <w:rFonts w:hint="eastAsia" w:ascii="宋体" w:hAnsi="宋体" w:cs="宋体"/>
          <w:spacing w:val="10"/>
          <w:sz w:val="24"/>
          <w:highlight w:val="none"/>
          <w:u w:val="single"/>
        </w:rPr>
        <w:t xml:space="preserve"> </w:t>
      </w:r>
      <w:r>
        <w:rPr>
          <w:rFonts w:hint="eastAsia" w:ascii="宋体" w:hAnsi="宋体" w:cs="宋体"/>
          <w:spacing w:val="3"/>
          <w:sz w:val="24"/>
          <w:highlight w:val="none"/>
          <w:u w:val="single"/>
        </w:rPr>
        <w:t>24</w:t>
      </w:r>
      <w:r>
        <w:rPr>
          <w:rFonts w:hint="eastAsia" w:ascii="宋体" w:hAnsi="宋体" w:cs="宋体"/>
          <w:spacing w:val="10"/>
          <w:sz w:val="24"/>
          <w:highlight w:val="none"/>
          <w:u w:val="single"/>
        </w:rPr>
        <w:t xml:space="preserve"> </w:t>
      </w:r>
      <w:r>
        <w:rPr>
          <w:rFonts w:hint="eastAsia" w:ascii="宋体" w:hAnsi="宋体" w:cs="宋体"/>
          <w:spacing w:val="3"/>
          <w:sz w:val="24"/>
          <w:highlight w:val="none"/>
        </w:rPr>
        <w:t>个</w:t>
      </w:r>
      <w:r>
        <w:rPr>
          <w:rFonts w:hint="eastAsia" w:ascii="宋体" w:hAnsi="宋体" w:cs="宋体"/>
          <w:spacing w:val="2"/>
          <w:sz w:val="24"/>
          <w:highlight w:val="none"/>
        </w:rPr>
        <w:t>小时内免费更换备品备件。</w:t>
      </w:r>
    </w:p>
    <w:p w14:paraId="5C7DDCA7">
      <w:pPr>
        <w:pStyle w:val="5"/>
        <w:pageBreakBefore w:val="0"/>
        <w:widowControl w:val="0"/>
        <w:kinsoku/>
        <w:wordWrap/>
        <w:overflowPunct/>
        <w:topLinePunct w:val="0"/>
        <w:autoSpaceDE/>
        <w:autoSpaceDN/>
        <w:bidi w:val="0"/>
        <w:adjustRightInd/>
        <w:snapToGrid/>
        <w:spacing w:before="30" w:line="320" w:lineRule="atLeast"/>
        <w:textAlignment w:val="auto"/>
        <w:rPr>
          <w:rFonts w:hint="eastAsia" w:ascii="宋体" w:hAnsi="宋体" w:cs="宋体"/>
          <w:sz w:val="24"/>
          <w:highlight w:val="none"/>
        </w:rPr>
      </w:pPr>
      <w:r>
        <w:rPr>
          <w:rFonts w:hint="eastAsia" w:ascii="宋体" w:hAnsi="宋体" w:cs="宋体"/>
          <w:spacing w:val="4"/>
          <w:sz w:val="24"/>
          <w:highlight w:val="none"/>
        </w:rPr>
        <w:t>4、质保期届满后，乙方对本合同项下货物提供终身维修服务，且维修时只收取所需维修部件的成本费，服务内容应与质保期内的要</w:t>
      </w:r>
      <w:r>
        <w:rPr>
          <w:rFonts w:hint="eastAsia" w:ascii="宋体" w:hAnsi="宋体" w:cs="宋体"/>
          <w:spacing w:val="3"/>
          <w:sz w:val="24"/>
          <w:highlight w:val="none"/>
        </w:rPr>
        <w:t>求相一致。</w:t>
      </w:r>
    </w:p>
    <w:p w14:paraId="59A43EDC">
      <w:pPr>
        <w:pStyle w:val="5"/>
        <w:pageBreakBefore w:val="0"/>
        <w:widowControl w:val="0"/>
        <w:kinsoku/>
        <w:wordWrap/>
        <w:overflowPunct/>
        <w:topLinePunct w:val="0"/>
        <w:autoSpaceDE/>
        <w:autoSpaceDN/>
        <w:bidi w:val="0"/>
        <w:adjustRightInd/>
        <w:snapToGrid/>
        <w:spacing w:before="1" w:line="320" w:lineRule="atLeast"/>
        <w:textAlignment w:val="auto"/>
        <w:rPr>
          <w:rFonts w:hint="eastAsia" w:ascii="宋体" w:hAnsi="宋体" w:cs="宋体"/>
          <w:sz w:val="24"/>
        </w:rPr>
      </w:pPr>
      <w:r>
        <w:rPr>
          <w:rFonts w:hint="eastAsia" w:ascii="宋体" w:hAnsi="宋体" w:cs="宋体"/>
          <w:sz w:val="24"/>
        </w:rPr>
        <w:t>5、</w:t>
      </w:r>
      <w:r>
        <w:rPr>
          <w:rFonts w:hint="eastAsia" w:ascii="宋体" w:hAnsi="宋体" w:cs="宋体"/>
          <w:sz w:val="24"/>
          <w:u w:val="single"/>
        </w:rPr>
        <w:t xml:space="preserve">                          </w:t>
      </w:r>
    </w:p>
    <w:p w14:paraId="615B75CF">
      <w:pPr>
        <w:pStyle w:val="5"/>
        <w:pageBreakBefore w:val="0"/>
        <w:widowControl w:val="0"/>
        <w:kinsoku/>
        <w:wordWrap/>
        <w:overflowPunct/>
        <w:topLinePunct w:val="0"/>
        <w:autoSpaceDE/>
        <w:autoSpaceDN/>
        <w:bidi w:val="0"/>
        <w:adjustRightInd/>
        <w:snapToGrid/>
        <w:spacing w:before="243" w:line="320" w:lineRule="atLeast"/>
        <w:ind w:left="399"/>
        <w:textAlignment w:val="auto"/>
        <w:outlineLvl w:val="0"/>
        <w:rPr>
          <w:rFonts w:hint="eastAsia" w:ascii="宋体" w:hAnsi="宋体" w:cs="宋体"/>
          <w:sz w:val="24"/>
        </w:rPr>
      </w:pPr>
      <w:r>
        <w:rPr>
          <w:rFonts w:hint="eastAsia" w:ascii="宋体" w:hAnsi="宋体" w:cs="宋体"/>
          <w:b/>
          <w:bCs/>
          <w:spacing w:val="4"/>
          <w:sz w:val="24"/>
        </w:rPr>
        <w:t>八、知识产权及其他民事权利的保护</w:t>
      </w:r>
    </w:p>
    <w:p w14:paraId="0F018FC2">
      <w:pPr>
        <w:pStyle w:val="5"/>
        <w:pageBreakBefore w:val="0"/>
        <w:widowControl w:val="0"/>
        <w:kinsoku/>
        <w:wordWrap/>
        <w:overflowPunct/>
        <w:topLinePunct w:val="0"/>
        <w:autoSpaceDE/>
        <w:autoSpaceDN/>
        <w:bidi w:val="0"/>
        <w:adjustRightInd/>
        <w:snapToGrid/>
        <w:spacing w:before="30" w:line="320" w:lineRule="atLeast"/>
        <w:ind w:right="322"/>
        <w:textAlignment w:val="auto"/>
        <w:rPr>
          <w:rFonts w:hint="eastAsia" w:ascii="宋体" w:hAnsi="宋体" w:cs="宋体"/>
          <w:sz w:val="24"/>
        </w:rPr>
      </w:pPr>
      <w:r>
        <w:rPr>
          <w:rFonts w:hint="eastAsia" w:ascii="宋体" w:hAnsi="宋体" w:cs="宋体"/>
          <w:spacing w:val="4"/>
          <w:sz w:val="24"/>
        </w:rPr>
        <w:t>1、乙方保证向甲方交付的货物、软件、技术资料等，不会侵犯任何第三人的专利权、著作权、商标权、商业秘密、其他知识产权或者其他民事权</w:t>
      </w:r>
      <w:r>
        <w:rPr>
          <w:rFonts w:hint="eastAsia" w:ascii="宋体" w:hAnsi="宋体" w:cs="宋体"/>
          <w:sz w:val="24"/>
        </w:rPr>
        <w:t xml:space="preserve"> </w:t>
      </w:r>
      <w:r>
        <w:rPr>
          <w:rFonts w:hint="eastAsia" w:ascii="宋体" w:hAnsi="宋体" w:cs="宋体"/>
          <w:spacing w:val="4"/>
          <w:sz w:val="24"/>
        </w:rPr>
        <w:t>利。如乙方违反上述规定，则乙方应负责消除甲方拥有并使用乙方交付的货物、软件、技术资料等所存在的全部法</w:t>
      </w:r>
      <w:r>
        <w:rPr>
          <w:rFonts w:hint="eastAsia" w:ascii="宋体" w:hAnsi="宋体" w:cs="宋体"/>
          <w:spacing w:val="3"/>
          <w:sz w:val="24"/>
        </w:rPr>
        <w:t>律障碍，并赔偿甲方的损失。</w:t>
      </w:r>
    </w:p>
    <w:p w14:paraId="40CCBBC2">
      <w:pPr>
        <w:pStyle w:val="5"/>
        <w:pageBreakBefore w:val="0"/>
        <w:widowControl w:val="0"/>
        <w:kinsoku/>
        <w:wordWrap/>
        <w:overflowPunct/>
        <w:topLinePunct w:val="0"/>
        <w:autoSpaceDE/>
        <w:autoSpaceDN/>
        <w:bidi w:val="0"/>
        <w:adjustRightInd/>
        <w:snapToGrid/>
        <w:spacing w:before="1" w:line="320" w:lineRule="atLeast"/>
        <w:textAlignment w:val="auto"/>
        <w:rPr>
          <w:rFonts w:hint="eastAsia" w:ascii="宋体" w:hAnsi="宋体" w:cs="宋体"/>
          <w:sz w:val="24"/>
        </w:rPr>
      </w:pPr>
      <w:r>
        <w:rPr>
          <w:rFonts w:hint="eastAsia" w:ascii="宋体" w:hAnsi="宋体" w:cs="宋体"/>
          <w:sz w:val="24"/>
        </w:rPr>
        <w:t>2、</w:t>
      </w:r>
      <w:r>
        <w:rPr>
          <w:rFonts w:hint="eastAsia" w:ascii="宋体" w:hAnsi="宋体" w:cs="宋体"/>
          <w:sz w:val="24"/>
          <w:u w:val="single"/>
        </w:rPr>
        <w:t xml:space="preserve">                          </w:t>
      </w:r>
    </w:p>
    <w:p w14:paraId="610510DB">
      <w:pPr>
        <w:pStyle w:val="5"/>
        <w:pageBreakBefore w:val="0"/>
        <w:widowControl w:val="0"/>
        <w:kinsoku/>
        <w:wordWrap/>
        <w:overflowPunct/>
        <w:topLinePunct w:val="0"/>
        <w:autoSpaceDE/>
        <w:autoSpaceDN/>
        <w:bidi w:val="0"/>
        <w:adjustRightInd/>
        <w:snapToGrid/>
        <w:spacing w:before="243" w:line="320" w:lineRule="atLeast"/>
        <w:ind w:left="401"/>
        <w:textAlignment w:val="auto"/>
        <w:outlineLvl w:val="0"/>
        <w:rPr>
          <w:rFonts w:hint="eastAsia" w:ascii="宋体" w:hAnsi="宋体" w:cs="宋体"/>
          <w:sz w:val="24"/>
        </w:rPr>
      </w:pPr>
      <w:r>
        <w:rPr>
          <w:rFonts w:hint="eastAsia" w:ascii="宋体" w:hAnsi="宋体" w:cs="宋体"/>
          <w:b/>
          <w:bCs/>
          <w:spacing w:val="3"/>
          <w:sz w:val="24"/>
        </w:rPr>
        <w:t>九、违约责任</w:t>
      </w:r>
    </w:p>
    <w:p w14:paraId="2F33D3D2">
      <w:pPr>
        <w:pStyle w:val="5"/>
        <w:pageBreakBefore w:val="0"/>
        <w:widowControl w:val="0"/>
        <w:kinsoku/>
        <w:wordWrap/>
        <w:overflowPunct/>
        <w:topLinePunct w:val="0"/>
        <w:autoSpaceDE/>
        <w:autoSpaceDN/>
        <w:bidi w:val="0"/>
        <w:adjustRightInd/>
        <w:snapToGrid/>
        <w:spacing w:before="29" w:line="320" w:lineRule="atLeast"/>
        <w:ind w:right="223"/>
        <w:textAlignment w:val="auto"/>
        <w:rPr>
          <w:rFonts w:hint="eastAsia" w:ascii="宋体" w:hAnsi="宋体" w:cs="宋体"/>
          <w:sz w:val="24"/>
          <w:highlight w:val="none"/>
        </w:rPr>
      </w:pPr>
      <w:r>
        <w:rPr>
          <w:rFonts w:hint="eastAsia" w:ascii="宋体" w:hAnsi="宋体" w:cs="宋体"/>
          <w:spacing w:val="5"/>
          <w:sz w:val="24"/>
        </w:rPr>
        <w:t>1、甲方逾期支付（申请支付）货款的，自逾</w:t>
      </w:r>
      <w:r>
        <w:rPr>
          <w:rFonts w:hint="eastAsia" w:ascii="宋体" w:hAnsi="宋体" w:cs="宋体"/>
          <w:spacing w:val="4"/>
          <w:sz w:val="24"/>
        </w:rPr>
        <w:t>期之日起，向乙方每日偿付合同总价</w:t>
      </w:r>
      <w:r>
        <w:rPr>
          <w:rFonts w:hint="eastAsia" w:ascii="宋体" w:hAnsi="宋体" w:cs="宋体"/>
          <w:color w:val="FF0000"/>
          <w:spacing w:val="4"/>
          <w:sz w:val="24"/>
          <w:u w:val="single"/>
        </w:rPr>
        <w:t>5</w:t>
      </w:r>
      <w:r>
        <w:rPr>
          <w:rFonts w:hint="eastAsia" w:ascii="宋体" w:hAnsi="宋体" w:cs="宋体"/>
          <w:spacing w:val="4"/>
          <w:sz w:val="24"/>
          <w:u w:val="single"/>
        </w:rPr>
        <w:t>‰</w:t>
      </w:r>
      <w:r>
        <w:rPr>
          <w:rFonts w:hint="eastAsia" w:ascii="宋体" w:hAnsi="宋体" w:cs="宋体"/>
          <w:spacing w:val="4"/>
          <w:sz w:val="24"/>
        </w:rPr>
        <w:t>的违约金；甲方无正当理由拒付货款的，应向乙方偿付合</w:t>
      </w:r>
      <w:r>
        <w:rPr>
          <w:rFonts w:hint="eastAsia" w:ascii="宋体" w:hAnsi="宋体" w:cs="宋体"/>
          <w:spacing w:val="-1"/>
          <w:sz w:val="24"/>
        </w:rPr>
        <w:t>同总</w:t>
      </w:r>
      <w:r>
        <w:rPr>
          <w:rFonts w:hint="eastAsia" w:ascii="宋体" w:hAnsi="宋体" w:cs="宋体"/>
          <w:spacing w:val="-1"/>
          <w:sz w:val="24"/>
          <w:highlight w:val="none"/>
        </w:rPr>
        <w:t>价</w:t>
      </w:r>
      <w:r>
        <w:rPr>
          <w:rFonts w:hint="eastAsia" w:ascii="宋体" w:hAnsi="宋体" w:cs="宋体"/>
          <w:strike w:val="0"/>
          <w:dstrike w:val="0"/>
          <w:color w:val="FF0000"/>
          <w:spacing w:val="-1"/>
          <w:sz w:val="24"/>
          <w:highlight w:val="none"/>
          <w:u w:val="single"/>
        </w:rPr>
        <w:t>30%</w:t>
      </w:r>
      <w:r>
        <w:rPr>
          <w:rFonts w:hint="eastAsia" w:ascii="宋体" w:hAnsi="宋体" w:cs="宋体"/>
          <w:spacing w:val="-1"/>
          <w:sz w:val="24"/>
          <w:highlight w:val="none"/>
        </w:rPr>
        <w:t>的违约金。</w:t>
      </w:r>
    </w:p>
    <w:p w14:paraId="0CB525C9">
      <w:pPr>
        <w:pStyle w:val="5"/>
        <w:pageBreakBefore w:val="0"/>
        <w:widowControl w:val="0"/>
        <w:kinsoku/>
        <w:wordWrap/>
        <w:overflowPunct/>
        <w:topLinePunct w:val="0"/>
        <w:autoSpaceDE/>
        <w:autoSpaceDN/>
        <w:bidi w:val="0"/>
        <w:adjustRightInd/>
        <w:snapToGrid/>
        <w:spacing w:before="30" w:line="320" w:lineRule="atLeast"/>
        <w:ind w:right="232"/>
        <w:textAlignment w:val="auto"/>
        <w:rPr>
          <w:rFonts w:hint="eastAsia" w:ascii="宋体" w:hAnsi="宋体" w:cs="宋体"/>
          <w:sz w:val="24"/>
        </w:rPr>
      </w:pPr>
      <w:r>
        <w:rPr>
          <w:rFonts w:hint="eastAsia" w:ascii="宋体" w:hAnsi="宋体" w:cs="宋体"/>
          <w:spacing w:val="3"/>
          <w:sz w:val="24"/>
          <w:highlight w:val="none"/>
        </w:rPr>
        <w:t>2、乙方逾期供货的，自逾期之日起，向甲方每日偿付合同总价</w:t>
      </w:r>
      <w:r>
        <w:rPr>
          <w:rFonts w:hint="eastAsia" w:ascii="宋体" w:hAnsi="宋体" w:cs="宋体"/>
          <w:color w:val="FF0000"/>
          <w:spacing w:val="3"/>
          <w:sz w:val="24"/>
          <w:highlight w:val="none"/>
          <w:u w:val="single"/>
        </w:rPr>
        <w:t>5</w:t>
      </w:r>
      <w:r>
        <w:rPr>
          <w:rFonts w:hint="eastAsia" w:ascii="宋体" w:hAnsi="宋体" w:cs="宋体"/>
          <w:spacing w:val="-28"/>
          <w:sz w:val="24"/>
          <w:highlight w:val="none"/>
        </w:rPr>
        <w:t xml:space="preserve"> </w:t>
      </w:r>
      <w:r>
        <w:rPr>
          <w:rFonts w:hint="eastAsia" w:ascii="宋体" w:hAnsi="宋体" w:cs="宋体"/>
          <w:spacing w:val="4"/>
          <w:sz w:val="24"/>
          <w:highlight w:val="none"/>
        </w:rPr>
        <w:t>‰</w:t>
      </w:r>
      <w:r>
        <w:rPr>
          <w:rFonts w:hint="eastAsia" w:ascii="宋体" w:hAnsi="宋体" w:cs="宋体"/>
          <w:spacing w:val="3"/>
          <w:sz w:val="24"/>
          <w:highlight w:val="none"/>
        </w:rPr>
        <w:t>的违约金；乙方逾期</w:t>
      </w:r>
      <w:r>
        <w:rPr>
          <w:rFonts w:hint="eastAsia" w:ascii="宋体" w:hAnsi="宋体" w:cs="宋体"/>
          <w:spacing w:val="3"/>
          <w:sz w:val="24"/>
          <w:highlight w:val="none"/>
          <w:u w:val="none"/>
        </w:rPr>
        <w:t>7日</w:t>
      </w:r>
      <w:r>
        <w:rPr>
          <w:rFonts w:hint="eastAsia" w:ascii="宋体" w:hAnsi="宋体" w:cs="宋体"/>
          <w:spacing w:val="3"/>
          <w:sz w:val="24"/>
          <w:highlight w:val="none"/>
        </w:rPr>
        <w:t>不能交货的，应向甲方支付合同总价</w:t>
      </w:r>
      <w:r>
        <w:rPr>
          <w:rFonts w:hint="eastAsia" w:ascii="宋体" w:hAnsi="宋体" w:cs="宋体"/>
          <w:color w:val="FF0000"/>
          <w:spacing w:val="3"/>
          <w:sz w:val="24"/>
          <w:highlight w:val="none"/>
          <w:u w:val="single"/>
        </w:rPr>
        <w:t>30 %</w:t>
      </w:r>
      <w:r>
        <w:rPr>
          <w:rFonts w:hint="eastAsia" w:ascii="宋体" w:hAnsi="宋体" w:cs="宋体"/>
          <w:spacing w:val="3"/>
          <w:sz w:val="24"/>
          <w:highlight w:val="none"/>
        </w:rPr>
        <w:t>的违约金，并且甲方有权解除本合同，不再退还履约保证金（如有）。</w:t>
      </w:r>
      <w:r>
        <w:rPr>
          <w:rFonts w:hint="eastAsia" w:ascii="宋体" w:hAnsi="宋体" w:cs="宋体"/>
          <w:spacing w:val="3"/>
          <w:sz w:val="24"/>
        </w:rPr>
        <w:t>乙方未在约定时间内完成安装调试（如有）的，参照前款约定承担违约责任。</w:t>
      </w:r>
    </w:p>
    <w:p w14:paraId="23404D1E">
      <w:pPr>
        <w:pStyle w:val="5"/>
        <w:pageBreakBefore w:val="0"/>
        <w:widowControl w:val="0"/>
        <w:kinsoku/>
        <w:wordWrap/>
        <w:overflowPunct/>
        <w:topLinePunct w:val="0"/>
        <w:autoSpaceDE/>
        <w:autoSpaceDN/>
        <w:bidi w:val="0"/>
        <w:adjustRightInd/>
        <w:snapToGrid/>
        <w:spacing w:before="29" w:line="320" w:lineRule="atLeast"/>
        <w:ind w:right="218"/>
        <w:textAlignment w:val="auto"/>
        <w:rPr>
          <w:rFonts w:hint="eastAsia" w:ascii="宋体" w:hAnsi="宋体" w:cs="宋体"/>
          <w:sz w:val="24"/>
        </w:rPr>
      </w:pPr>
      <w:r>
        <w:rPr>
          <w:rFonts w:hint="eastAsia" w:ascii="宋体" w:hAnsi="宋体" w:cs="宋体"/>
          <w:spacing w:val="5"/>
          <w:sz w:val="24"/>
        </w:rPr>
        <w:t>3、乙方违反本合同和招投标文件约定的有关质量保证及售</w:t>
      </w:r>
      <w:r>
        <w:rPr>
          <w:rFonts w:hint="eastAsia" w:ascii="宋体" w:hAnsi="宋体" w:cs="宋体"/>
          <w:spacing w:val="4"/>
          <w:sz w:val="24"/>
        </w:rPr>
        <w:t>后服务等的，每发生一次，乙方应向甲方支付</w:t>
      </w:r>
      <w:r>
        <w:rPr>
          <w:rFonts w:hint="eastAsia" w:ascii="宋体" w:hAnsi="宋体" w:cs="宋体"/>
          <w:color w:val="FF0000"/>
          <w:spacing w:val="4"/>
          <w:sz w:val="24"/>
          <w:u w:val="single"/>
        </w:rPr>
        <w:t>500</w:t>
      </w:r>
      <w:r>
        <w:rPr>
          <w:rFonts w:hint="eastAsia" w:ascii="宋体" w:hAnsi="宋体" w:cs="宋体"/>
          <w:spacing w:val="4"/>
          <w:sz w:val="24"/>
          <w:u w:val="single"/>
        </w:rPr>
        <w:t>元</w:t>
      </w:r>
      <w:r>
        <w:rPr>
          <w:rFonts w:hint="eastAsia" w:ascii="宋体" w:hAnsi="宋体" w:cs="宋体"/>
          <w:spacing w:val="4"/>
          <w:sz w:val="24"/>
        </w:rPr>
        <w:t>违约金。同时，甲方有权委托第</w:t>
      </w:r>
      <w:r>
        <w:rPr>
          <w:rFonts w:hint="eastAsia" w:ascii="宋体" w:hAnsi="宋体" w:cs="宋体"/>
          <w:spacing w:val="5"/>
          <w:sz w:val="24"/>
        </w:rPr>
        <w:t>三方进行保修，所产生的费用由乙方承担。若因</w:t>
      </w:r>
      <w:r>
        <w:rPr>
          <w:rFonts w:hint="eastAsia" w:ascii="宋体" w:hAnsi="宋体" w:cs="宋体"/>
          <w:spacing w:val="4"/>
          <w:sz w:val="24"/>
        </w:rPr>
        <w:t>货物缺陷或乙方服务质量等问题造成甲方或任何人员人身、财产损害的，乙方应承担有关责任并作出相</w:t>
      </w:r>
      <w:r>
        <w:rPr>
          <w:rFonts w:hint="eastAsia" w:ascii="宋体" w:hAnsi="宋体" w:cs="宋体"/>
          <w:spacing w:val="-3"/>
          <w:sz w:val="24"/>
        </w:rPr>
        <w:t>应赔偿。</w:t>
      </w:r>
    </w:p>
    <w:p w14:paraId="45EFFA6B">
      <w:pPr>
        <w:pStyle w:val="5"/>
        <w:pageBreakBefore w:val="0"/>
        <w:widowControl w:val="0"/>
        <w:kinsoku/>
        <w:wordWrap/>
        <w:overflowPunct/>
        <w:topLinePunct w:val="0"/>
        <w:autoSpaceDE/>
        <w:autoSpaceDN/>
        <w:bidi w:val="0"/>
        <w:adjustRightInd/>
        <w:snapToGrid/>
        <w:spacing w:before="30" w:line="320" w:lineRule="atLeast"/>
        <w:ind w:right="325"/>
        <w:textAlignment w:val="auto"/>
        <w:rPr>
          <w:rFonts w:hint="eastAsia" w:ascii="宋体" w:hAnsi="宋体" w:cs="宋体"/>
          <w:spacing w:val="2"/>
          <w:sz w:val="24"/>
        </w:rPr>
      </w:pPr>
      <w:r>
        <w:rPr>
          <w:rFonts w:hint="eastAsia" w:ascii="宋体" w:hAnsi="宋体" w:cs="宋体"/>
          <w:spacing w:val="4"/>
          <w:sz w:val="24"/>
        </w:rPr>
        <w:t>4、乙方没有按网上超市协议承诺的价格或优惠率签订合同并供货的，甲方有权没收履约保证金（如有</w:t>
      </w:r>
      <w:r>
        <w:rPr>
          <w:rFonts w:hint="eastAsia" w:ascii="宋体" w:hAnsi="宋体" w:cs="宋体"/>
          <w:spacing w:val="9"/>
          <w:sz w:val="24"/>
        </w:rPr>
        <w:t>），</w:t>
      </w:r>
      <w:r>
        <w:rPr>
          <w:rFonts w:hint="eastAsia" w:ascii="宋体" w:hAnsi="宋体" w:cs="宋体"/>
          <w:spacing w:val="4"/>
          <w:sz w:val="24"/>
        </w:rPr>
        <w:t>同时，报经政府采购监管部门批准按照</w:t>
      </w:r>
      <w:r>
        <w:rPr>
          <w:rFonts w:hint="eastAsia" w:ascii="宋体" w:hAnsi="宋体" w:cs="宋体"/>
          <w:spacing w:val="2"/>
          <w:sz w:val="24"/>
        </w:rPr>
        <w:t>相关政府采购法律法规的规定对其进行处罚。</w:t>
      </w:r>
    </w:p>
    <w:p w14:paraId="41F8AC40">
      <w:pPr>
        <w:pStyle w:val="5"/>
        <w:pageBreakBefore w:val="0"/>
        <w:widowControl w:val="0"/>
        <w:kinsoku/>
        <w:wordWrap/>
        <w:overflowPunct/>
        <w:topLinePunct w:val="0"/>
        <w:autoSpaceDE/>
        <w:autoSpaceDN/>
        <w:bidi w:val="0"/>
        <w:adjustRightInd/>
        <w:snapToGrid/>
        <w:spacing w:before="30" w:line="320" w:lineRule="atLeast"/>
        <w:ind w:right="325"/>
        <w:textAlignment w:val="auto"/>
        <w:rPr>
          <w:rFonts w:hint="eastAsia" w:ascii="宋体" w:hAnsi="宋体" w:cs="宋体"/>
          <w:color w:val="auto"/>
          <w:spacing w:val="2"/>
          <w:sz w:val="24"/>
          <w:u w:val="single"/>
        </w:rPr>
      </w:pPr>
      <w:r>
        <w:rPr>
          <w:rFonts w:hint="eastAsia" w:ascii="宋体" w:hAnsi="宋体" w:cs="宋体"/>
          <w:color w:val="auto"/>
          <w:spacing w:val="4"/>
          <w:sz w:val="24"/>
        </w:rPr>
        <w:t>5、</w:t>
      </w:r>
      <w:r>
        <w:rPr>
          <w:rFonts w:hint="eastAsia" w:ascii="宋体" w:hAnsi="宋体" w:cs="宋体"/>
          <w:color w:val="auto"/>
          <w:spacing w:val="2"/>
          <w:sz w:val="24"/>
          <w:u w:val="single"/>
        </w:rPr>
        <w:t>因包装、运输引起的货物损坏，按质量不合格违约处理。</w:t>
      </w:r>
    </w:p>
    <w:p w14:paraId="1920A87F">
      <w:pPr>
        <w:pStyle w:val="5"/>
        <w:pageBreakBefore w:val="0"/>
        <w:widowControl w:val="0"/>
        <w:kinsoku/>
        <w:wordWrap/>
        <w:overflowPunct/>
        <w:topLinePunct w:val="0"/>
        <w:autoSpaceDE/>
        <w:autoSpaceDN/>
        <w:bidi w:val="0"/>
        <w:adjustRightInd/>
        <w:snapToGrid/>
        <w:spacing w:before="30" w:line="320" w:lineRule="atLeast"/>
        <w:ind w:right="325"/>
        <w:textAlignment w:val="auto"/>
        <w:rPr>
          <w:rFonts w:hint="eastAsia" w:ascii="宋体" w:hAnsi="宋体" w:cs="宋体"/>
          <w:color w:val="auto"/>
          <w:spacing w:val="2"/>
          <w:sz w:val="24"/>
          <w:u w:val="single"/>
        </w:rPr>
      </w:pPr>
      <w:r>
        <w:rPr>
          <w:rFonts w:hint="eastAsia" w:ascii="宋体" w:hAnsi="宋体" w:cs="宋体"/>
          <w:color w:val="auto"/>
          <w:spacing w:val="2"/>
          <w:sz w:val="24"/>
          <w:u w:val="single"/>
        </w:rPr>
        <w:t>6、乙方未按本合同和响应文件中规定的服务承诺提供售后服务的，乙方应按本合同合计</w:t>
      </w:r>
      <w:r>
        <w:rPr>
          <w:rFonts w:hint="eastAsia" w:ascii="宋体" w:hAnsi="宋体" w:cs="宋体"/>
          <w:color w:val="auto"/>
          <w:spacing w:val="2"/>
          <w:sz w:val="24"/>
          <w:u w:val="single"/>
          <w:lang w:val="en-US" w:eastAsia="zh-CN"/>
        </w:rPr>
        <w:t>3</w:t>
      </w:r>
      <w:r>
        <w:rPr>
          <w:rFonts w:hint="eastAsia" w:ascii="宋体" w:hAnsi="宋体" w:cs="宋体"/>
          <w:color w:val="auto"/>
          <w:spacing w:val="2"/>
          <w:sz w:val="24"/>
          <w:u w:val="single"/>
        </w:rPr>
        <w:t>0% 向甲方支付违约金。</w:t>
      </w:r>
    </w:p>
    <w:p w14:paraId="367BFDFC">
      <w:pPr>
        <w:pStyle w:val="5"/>
        <w:pageBreakBefore w:val="0"/>
        <w:widowControl w:val="0"/>
        <w:kinsoku/>
        <w:wordWrap/>
        <w:overflowPunct/>
        <w:topLinePunct w:val="0"/>
        <w:autoSpaceDE/>
        <w:autoSpaceDN/>
        <w:bidi w:val="0"/>
        <w:adjustRightInd/>
        <w:snapToGrid/>
        <w:spacing w:before="30" w:line="320" w:lineRule="atLeast"/>
        <w:ind w:right="325"/>
        <w:textAlignment w:val="auto"/>
        <w:rPr>
          <w:rFonts w:hint="eastAsia" w:ascii="宋体" w:hAnsi="宋体" w:cs="宋体"/>
          <w:color w:val="auto"/>
          <w:spacing w:val="2"/>
          <w:sz w:val="24"/>
          <w:u w:val="single"/>
        </w:rPr>
      </w:pPr>
      <w:r>
        <w:rPr>
          <w:rFonts w:hint="eastAsia" w:ascii="宋体" w:hAnsi="宋体" w:cs="宋体"/>
          <w:color w:val="auto"/>
          <w:spacing w:val="2"/>
          <w:sz w:val="24"/>
          <w:u w:val="single"/>
        </w:rPr>
        <w:t>7、乙方提供的货物在保修期内，因设计、工艺或者材料的缺陷和其它质量原因造成的问题，由乙方负责，费用从余款 或者履约保证金中扣除，不足另补。</w:t>
      </w:r>
    </w:p>
    <w:p w14:paraId="1A59DA50">
      <w:pPr>
        <w:pStyle w:val="5"/>
        <w:pageBreakBefore w:val="0"/>
        <w:widowControl w:val="0"/>
        <w:kinsoku/>
        <w:wordWrap/>
        <w:overflowPunct/>
        <w:topLinePunct w:val="0"/>
        <w:autoSpaceDE/>
        <w:autoSpaceDN/>
        <w:bidi w:val="0"/>
        <w:adjustRightInd/>
        <w:snapToGrid/>
        <w:spacing w:before="30" w:line="320" w:lineRule="atLeast"/>
        <w:ind w:right="325"/>
        <w:textAlignment w:val="auto"/>
        <w:rPr>
          <w:rFonts w:hint="eastAsia" w:ascii="宋体" w:hAnsi="宋体" w:cs="宋体"/>
          <w:color w:val="auto"/>
          <w:spacing w:val="2"/>
          <w:sz w:val="24"/>
          <w:u w:val="single"/>
        </w:rPr>
      </w:pPr>
      <w:r>
        <w:rPr>
          <w:rFonts w:hint="eastAsia" w:ascii="宋体" w:hAnsi="宋体" w:cs="宋体"/>
          <w:color w:val="auto"/>
          <w:spacing w:val="2"/>
          <w:sz w:val="24"/>
          <w:u w:val="single"/>
        </w:rPr>
        <w:t xml:space="preserve">8 、乙方提供的产品或服务因质量不合格造成甲方或第三人损失的，由乙方承担违约赔偿责任；甲乙双方有其它违约行为的，由违约方向对方支付违约行为涉及货款额的 10 % ，违约行为涉及货款额的 </w:t>
      </w:r>
      <w:r>
        <w:rPr>
          <w:rFonts w:hint="eastAsia" w:ascii="宋体" w:hAnsi="宋体" w:cs="宋体"/>
          <w:color w:val="auto"/>
          <w:spacing w:val="2"/>
          <w:sz w:val="24"/>
          <w:u w:val="single"/>
          <w:lang w:val="en-US" w:eastAsia="zh-CN"/>
        </w:rPr>
        <w:t>3</w:t>
      </w:r>
      <w:r>
        <w:rPr>
          <w:rFonts w:hint="eastAsia" w:ascii="宋体" w:hAnsi="宋体" w:cs="宋体"/>
          <w:color w:val="auto"/>
          <w:spacing w:val="2"/>
          <w:sz w:val="24"/>
          <w:u w:val="single"/>
        </w:rPr>
        <w:t>0 %不足以赔偿经济损失的按实际赔偿。</w:t>
      </w:r>
    </w:p>
    <w:p w14:paraId="6D25B519">
      <w:pPr>
        <w:pStyle w:val="5"/>
        <w:pageBreakBefore w:val="0"/>
        <w:widowControl w:val="0"/>
        <w:kinsoku/>
        <w:wordWrap/>
        <w:overflowPunct/>
        <w:topLinePunct w:val="0"/>
        <w:autoSpaceDE/>
        <w:autoSpaceDN/>
        <w:bidi w:val="0"/>
        <w:adjustRightInd/>
        <w:snapToGrid/>
        <w:spacing w:before="30" w:line="320" w:lineRule="atLeast"/>
        <w:ind w:right="325"/>
        <w:textAlignment w:val="auto"/>
        <w:rPr>
          <w:rFonts w:hint="eastAsia"/>
          <w:color w:val="FF0000"/>
        </w:rPr>
      </w:pPr>
      <w:r>
        <w:rPr>
          <w:rFonts w:hint="eastAsia" w:ascii="宋体" w:hAnsi="宋体" w:cs="宋体"/>
          <w:color w:val="FF0000"/>
          <w:spacing w:val="4"/>
          <w:sz w:val="24"/>
          <w:lang w:val="en-US" w:eastAsia="zh-CN"/>
        </w:rPr>
        <w:t>9</w:t>
      </w:r>
      <w:r>
        <w:rPr>
          <w:rFonts w:hint="eastAsia" w:ascii="宋体" w:hAnsi="宋体" w:cs="宋体"/>
          <w:color w:val="FF0000"/>
          <w:spacing w:val="4"/>
          <w:sz w:val="24"/>
        </w:rPr>
        <w:t>、</w:t>
      </w:r>
      <w:r>
        <w:rPr>
          <w:rFonts w:hint="eastAsia" w:ascii="宋体" w:hAnsi="宋体" w:cs="宋体"/>
          <w:color w:val="FF0000"/>
          <w:spacing w:val="2"/>
          <w:sz w:val="24"/>
          <w:u w:val="single"/>
        </w:rPr>
        <w:t>因任何一方的违约行为引起诉讼的，由违约方承担守约方为实现合同权利或债权而产生的全部费用（包括但不限于律师费 、诉讼费、调查费、公告费、复印费、申请保全费、诉讼保全担保保险费、申请执行费、交通费、差旅费、鉴定费、证人出庭费用、协助执行悬赏费等费用）。</w:t>
      </w:r>
    </w:p>
    <w:p w14:paraId="342EFC6A">
      <w:pPr>
        <w:pStyle w:val="5"/>
        <w:pageBreakBefore w:val="0"/>
        <w:widowControl w:val="0"/>
        <w:kinsoku/>
        <w:wordWrap/>
        <w:overflowPunct/>
        <w:topLinePunct w:val="0"/>
        <w:autoSpaceDE/>
        <w:autoSpaceDN/>
        <w:bidi w:val="0"/>
        <w:adjustRightInd/>
        <w:snapToGrid/>
        <w:spacing w:before="271" w:line="320" w:lineRule="atLeast"/>
        <w:ind w:left="403"/>
        <w:textAlignment w:val="auto"/>
        <w:rPr>
          <w:rFonts w:hint="eastAsia" w:ascii="宋体" w:hAnsi="宋体" w:cs="宋体"/>
          <w:sz w:val="24"/>
        </w:rPr>
      </w:pPr>
      <w:r>
        <w:rPr>
          <w:rFonts w:hint="eastAsia" w:ascii="宋体" w:hAnsi="宋体" w:cs="宋体"/>
          <w:b/>
          <w:bCs/>
          <w:spacing w:val="3"/>
          <w:sz w:val="24"/>
        </w:rPr>
        <w:t>十、争议解决</w:t>
      </w:r>
    </w:p>
    <w:p w14:paraId="175794E2">
      <w:pPr>
        <w:pStyle w:val="5"/>
        <w:pageBreakBefore w:val="0"/>
        <w:widowControl w:val="0"/>
        <w:kinsoku/>
        <w:wordWrap/>
        <w:overflowPunct/>
        <w:topLinePunct w:val="0"/>
        <w:autoSpaceDE/>
        <w:autoSpaceDN/>
        <w:bidi w:val="0"/>
        <w:adjustRightInd/>
        <w:snapToGrid/>
        <w:spacing w:before="31" w:line="320" w:lineRule="atLeast"/>
        <w:textAlignment w:val="auto"/>
        <w:rPr>
          <w:rFonts w:hint="eastAsia" w:ascii="宋体" w:hAnsi="宋体" w:cs="宋体"/>
          <w:sz w:val="24"/>
        </w:rPr>
      </w:pPr>
      <w:r>
        <w:rPr>
          <w:rFonts w:hint="eastAsia" w:ascii="宋体" w:hAnsi="宋体" w:cs="宋体"/>
          <w:spacing w:val="3"/>
          <w:sz w:val="24"/>
        </w:rPr>
        <w:t>1、本合同履行过程中发生争议的，双方可友好协商解决，或向采购</w:t>
      </w:r>
      <w:r>
        <w:rPr>
          <w:rFonts w:hint="eastAsia" w:ascii="宋体" w:hAnsi="宋体" w:cs="宋体"/>
          <w:spacing w:val="2"/>
          <w:sz w:val="24"/>
        </w:rPr>
        <w:t>中心反映。</w:t>
      </w:r>
    </w:p>
    <w:p w14:paraId="097B9733">
      <w:pPr>
        <w:pStyle w:val="5"/>
        <w:pageBreakBefore w:val="0"/>
        <w:widowControl w:val="0"/>
        <w:kinsoku/>
        <w:wordWrap/>
        <w:overflowPunct/>
        <w:topLinePunct w:val="0"/>
        <w:autoSpaceDE/>
        <w:autoSpaceDN/>
        <w:bidi w:val="0"/>
        <w:adjustRightInd/>
        <w:snapToGrid/>
        <w:spacing w:line="320" w:lineRule="atLeast"/>
        <w:ind w:left="718"/>
        <w:textAlignment w:val="auto"/>
        <w:rPr>
          <w:rFonts w:hint="eastAsia" w:ascii="宋体" w:hAnsi="宋体" w:cs="宋体"/>
          <w:sz w:val="24"/>
        </w:rPr>
      </w:pPr>
      <w:r>
        <w:rPr>
          <w:rFonts w:hint="eastAsia" w:ascii="宋体" w:hAnsi="宋体" w:cs="宋体"/>
          <w:spacing w:val="-3"/>
          <w:sz w:val="24"/>
        </w:rPr>
        <w:t>乙方指定协调人电话：</w:t>
      </w:r>
      <w:r>
        <w:rPr>
          <w:rFonts w:hint="eastAsia" w:ascii="宋体" w:hAnsi="宋体" w:cs="宋体"/>
          <w:spacing w:val="17"/>
          <w:w w:val="101"/>
          <w:sz w:val="24"/>
        </w:rPr>
        <w:t xml:space="preserve">  </w:t>
      </w:r>
      <w:r>
        <w:rPr>
          <w:rFonts w:hint="eastAsia" w:ascii="宋体" w:hAnsi="宋体" w:cs="宋体"/>
          <w:spacing w:val="-3"/>
          <w:sz w:val="24"/>
          <w:u w:val="single"/>
        </w:rPr>
        <w:t xml:space="preserve">      </w:t>
      </w:r>
      <w:r>
        <w:rPr>
          <w:rFonts w:hint="eastAsia" w:ascii="宋体" w:hAnsi="宋体" w:cs="宋体"/>
          <w:spacing w:val="-4"/>
          <w:sz w:val="24"/>
          <w:u w:val="single"/>
        </w:rPr>
        <w:t xml:space="preserve"> </w:t>
      </w:r>
      <w:r>
        <w:rPr>
          <w:rFonts w:hint="eastAsia" w:ascii="宋体" w:hAnsi="宋体" w:cs="宋体"/>
          <w:spacing w:val="-24"/>
          <w:sz w:val="24"/>
        </w:rPr>
        <w:t xml:space="preserve"> </w:t>
      </w:r>
      <w:r>
        <w:rPr>
          <w:rFonts w:hint="eastAsia" w:ascii="宋体" w:hAnsi="宋体" w:cs="宋体"/>
          <w:spacing w:val="-4"/>
          <w:sz w:val="24"/>
        </w:rPr>
        <w:t xml:space="preserve">；采购中心联系人电话：  </w:t>
      </w:r>
      <w:r>
        <w:rPr>
          <w:rFonts w:hint="eastAsia" w:ascii="宋体" w:hAnsi="宋体" w:cs="宋体"/>
          <w:spacing w:val="-4"/>
          <w:sz w:val="24"/>
          <w:u w:val="single"/>
        </w:rPr>
        <w:t xml:space="preserve">    </w:t>
      </w:r>
      <w:r>
        <w:rPr>
          <w:rFonts w:hint="eastAsia" w:ascii="宋体" w:hAnsi="宋体" w:cs="宋体"/>
          <w:spacing w:val="9"/>
          <w:sz w:val="24"/>
          <w:u w:val="single"/>
        </w:rPr>
        <w:t xml:space="preserve">  </w:t>
      </w:r>
      <w:r>
        <w:rPr>
          <w:rFonts w:hint="eastAsia" w:ascii="宋体" w:hAnsi="宋体" w:cs="宋体"/>
          <w:spacing w:val="-36"/>
          <w:sz w:val="24"/>
        </w:rPr>
        <w:t xml:space="preserve"> </w:t>
      </w:r>
      <w:r>
        <w:rPr>
          <w:rFonts w:hint="eastAsia" w:ascii="宋体" w:hAnsi="宋体" w:cs="宋体"/>
          <w:spacing w:val="-4"/>
          <w:sz w:val="24"/>
        </w:rPr>
        <w:t>；</w:t>
      </w:r>
    </w:p>
    <w:p w14:paraId="095EE965">
      <w:pPr>
        <w:pStyle w:val="5"/>
        <w:pageBreakBefore w:val="0"/>
        <w:widowControl w:val="0"/>
        <w:kinsoku/>
        <w:wordWrap/>
        <w:overflowPunct/>
        <w:topLinePunct w:val="0"/>
        <w:autoSpaceDE/>
        <w:autoSpaceDN/>
        <w:bidi w:val="0"/>
        <w:adjustRightInd/>
        <w:snapToGrid/>
        <w:spacing w:line="320" w:lineRule="atLeast"/>
        <w:ind w:left="709"/>
        <w:textAlignment w:val="auto"/>
        <w:rPr>
          <w:rFonts w:hint="eastAsia" w:ascii="宋体" w:hAnsi="宋体" w:cs="宋体"/>
          <w:sz w:val="24"/>
        </w:rPr>
      </w:pPr>
      <w:r>
        <w:rPr>
          <w:rFonts w:hint="eastAsia" w:ascii="宋体" w:hAnsi="宋体" w:cs="宋体"/>
          <w:spacing w:val="-6"/>
          <w:sz w:val="24"/>
        </w:rPr>
        <w:t>采购监管部门投诉电话：</w:t>
      </w:r>
      <w:r>
        <w:rPr>
          <w:rFonts w:hint="eastAsia" w:ascii="宋体" w:hAnsi="宋体" w:cs="宋体"/>
          <w:spacing w:val="13"/>
          <w:w w:val="101"/>
          <w:sz w:val="24"/>
        </w:rPr>
        <w:t xml:space="preserve"> </w:t>
      </w:r>
      <w:r>
        <w:rPr>
          <w:rFonts w:hint="eastAsia" w:ascii="宋体" w:hAnsi="宋体" w:cs="宋体"/>
          <w:spacing w:val="36"/>
          <w:sz w:val="24"/>
          <w:u w:val="single"/>
        </w:rPr>
        <w:t xml:space="preserve">  </w:t>
      </w:r>
      <w:r>
        <w:rPr>
          <w:rFonts w:hint="eastAsia" w:ascii="宋体" w:hAnsi="宋体" w:cs="宋体"/>
          <w:spacing w:val="-6"/>
          <w:sz w:val="24"/>
          <w:u w:val="single"/>
        </w:rPr>
        <w:t xml:space="preserve"> </w:t>
      </w:r>
      <w:r>
        <w:rPr>
          <w:rFonts w:hint="eastAsia" w:ascii="宋体" w:hAnsi="宋体" w:cs="宋体"/>
          <w:spacing w:val="9"/>
          <w:sz w:val="24"/>
          <w:u w:val="single"/>
        </w:rPr>
        <w:t xml:space="preserve">  </w:t>
      </w:r>
      <w:r>
        <w:rPr>
          <w:rFonts w:hint="eastAsia" w:ascii="宋体" w:hAnsi="宋体" w:cs="宋体"/>
          <w:spacing w:val="-6"/>
          <w:sz w:val="24"/>
        </w:rPr>
        <w:t>。</w:t>
      </w:r>
    </w:p>
    <w:p w14:paraId="0AB91A5C">
      <w:pPr>
        <w:pStyle w:val="5"/>
        <w:pageBreakBefore w:val="0"/>
        <w:widowControl w:val="0"/>
        <w:kinsoku/>
        <w:wordWrap/>
        <w:overflowPunct/>
        <w:topLinePunct w:val="0"/>
        <w:autoSpaceDE/>
        <w:autoSpaceDN/>
        <w:bidi w:val="0"/>
        <w:adjustRightInd/>
        <w:snapToGrid/>
        <w:spacing w:before="16" w:line="320" w:lineRule="atLeast"/>
        <w:textAlignment w:val="auto"/>
        <w:rPr>
          <w:rFonts w:hint="eastAsia" w:ascii="宋体" w:hAnsi="宋体" w:cs="宋体"/>
          <w:sz w:val="24"/>
        </w:rPr>
      </w:pPr>
      <w:r>
        <w:rPr>
          <w:rFonts w:hint="eastAsia" w:ascii="宋体" w:hAnsi="宋体" w:cs="宋体"/>
          <w:spacing w:val="2"/>
          <w:sz w:val="24"/>
        </w:rPr>
        <w:t>2、协商不成的，任何一方可向甲方所在地人民法院起诉。</w:t>
      </w:r>
    </w:p>
    <w:p w14:paraId="596B1E2D">
      <w:pPr>
        <w:pStyle w:val="5"/>
        <w:pageBreakBefore w:val="0"/>
        <w:widowControl w:val="0"/>
        <w:kinsoku/>
        <w:wordWrap/>
        <w:overflowPunct/>
        <w:topLinePunct w:val="0"/>
        <w:autoSpaceDE/>
        <w:autoSpaceDN/>
        <w:bidi w:val="0"/>
        <w:adjustRightInd/>
        <w:snapToGrid/>
        <w:spacing w:before="242" w:line="320" w:lineRule="atLeast"/>
        <w:ind w:left="403"/>
        <w:textAlignment w:val="auto"/>
        <w:rPr>
          <w:rFonts w:hint="eastAsia" w:ascii="宋体" w:hAnsi="宋体" w:cs="宋体"/>
          <w:sz w:val="24"/>
        </w:rPr>
      </w:pPr>
      <w:r>
        <w:rPr>
          <w:rFonts w:hint="eastAsia" w:ascii="宋体" w:hAnsi="宋体" w:cs="宋体"/>
          <w:b/>
          <w:bCs/>
          <w:spacing w:val="3"/>
          <w:sz w:val="24"/>
        </w:rPr>
        <w:t>十一、合同生效及其他</w:t>
      </w:r>
    </w:p>
    <w:p w14:paraId="0BBD5BD1">
      <w:pPr>
        <w:pStyle w:val="5"/>
        <w:pageBreakBefore w:val="0"/>
        <w:widowControl w:val="0"/>
        <w:kinsoku/>
        <w:wordWrap/>
        <w:overflowPunct/>
        <w:topLinePunct w:val="0"/>
        <w:autoSpaceDE/>
        <w:autoSpaceDN/>
        <w:bidi w:val="0"/>
        <w:adjustRightInd/>
        <w:snapToGrid/>
        <w:spacing w:before="30" w:line="320" w:lineRule="atLeast"/>
        <w:ind w:right="223" w:firstLine="496" w:firstLineChars="200"/>
        <w:textAlignment w:val="auto"/>
        <w:rPr>
          <w:rFonts w:hint="eastAsia" w:ascii="宋体" w:hAnsi="宋体" w:cs="宋体"/>
          <w:sz w:val="24"/>
        </w:rPr>
      </w:pPr>
      <w:r>
        <w:rPr>
          <w:rFonts w:hint="eastAsia" w:ascii="宋体" w:hAnsi="宋体" w:cs="宋体"/>
          <w:spacing w:val="4"/>
          <w:sz w:val="24"/>
        </w:rPr>
        <w:t>1、广西壮族自治区 广西壮族自治区预算单位“政采云”电子卖场网上超市一张网供应商征集入围项目-</w:t>
      </w:r>
      <w:r>
        <w:rPr>
          <w:rFonts w:hint="eastAsia" w:ascii="宋体" w:hAnsi="宋体" w:cs="宋体"/>
          <w:spacing w:val="4"/>
          <w:sz w:val="24"/>
          <w:u w:val="single"/>
        </w:rPr>
        <w:t xml:space="preserve">           </w:t>
      </w:r>
      <w:r>
        <w:rPr>
          <w:rFonts w:hint="eastAsia" w:ascii="宋体" w:hAnsi="宋体" w:cs="宋体"/>
          <w:spacing w:val="4"/>
          <w:sz w:val="24"/>
        </w:rPr>
        <w:t>招标文件以及投标文件、询标纪要、广西壮族自治区  广西壮族自治区预算单位</w:t>
      </w:r>
      <w:r>
        <w:rPr>
          <w:rFonts w:hint="eastAsia" w:ascii="宋体" w:hAnsi="宋体" w:cs="宋体"/>
          <w:spacing w:val="3"/>
          <w:sz w:val="24"/>
        </w:rPr>
        <w:t>“政采云”电子卖场网上超市一张网供应商征集入围项目-</w:t>
      </w:r>
      <w:r>
        <w:rPr>
          <w:rFonts w:hint="eastAsia" w:ascii="宋体" w:hAnsi="宋体" w:cs="宋体"/>
          <w:spacing w:val="3"/>
          <w:sz w:val="24"/>
          <w:u w:val="single"/>
        </w:rPr>
        <w:t xml:space="preserve">            </w:t>
      </w:r>
      <w:r>
        <w:rPr>
          <w:rFonts w:hint="eastAsia" w:ascii="宋体" w:hAnsi="宋体" w:cs="宋体"/>
          <w:spacing w:val="4"/>
          <w:sz w:val="24"/>
        </w:rPr>
        <w:t xml:space="preserve"> 电子卖场（网上超市）项目协议书和承诺书是本合同不可分割的组成部分，本合同未尽事宜从其规定。若本合</w:t>
      </w:r>
      <w:r>
        <w:rPr>
          <w:rFonts w:hint="eastAsia" w:ascii="宋体" w:hAnsi="宋体" w:cs="宋体"/>
          <w:spacing w:val="3"/>
          <w:sz w:val="24"/>
        </w:rPr>
        <w:t>同约定与前述文件约定不一致的，按照下列顺序予以解释：</w:t>
      </w:r>
    </w:p>
    <w:p w14:paraId="0DCADCB2">
      <w:pPr>
        <w:pStyle w:val="5"/>
        <w:pageBreakBefore w:val="0"/>
        <w:widowControl w:val="0"/>
        <w:kinsoku/>
        <w:wordWrap/>
        <w:overflowPunct/>
        <w:topLinePunct w:val="0"/>
        <w:autoSpaceDE/>
        <w:autoSpaceDN/>
        <w:bidi w:val="0"/>
        <w:adjustRightInd/>
        <w:snapToGrid/>
        <w:spacing w:before="2" w:line="320" w:lineRule="atLeast"/>
        <w:ind w:left="733"/>
        <w:textAlignment w:val="auto"/>
        <w:rPr>
          <w:rFonts w:hint="eastAsia" w:ascii="宋体" w:hAnsi="宋体" w:cs="宋体"/>
          <w:sz w:val="24"/>
        </w:rPr>
      </w:pPr>
      <w:r>
        <w:rPr>
          <w:rFonts w:hint="eastAsia" w:ascii="宋体" w:hAnsi="宋体" w:cs="宋体"/>
          <w:spacing w:val="2"/>
          <w:sz w:val="24"/>
        </w:rPr>
        <w:t>（1）本合同履行过程中双方签署的变更或补充协议（如有</w:t>
      </w:r>
      <w:r>
        <w:rPr>
          <w:rFonts w:hint="eastAsia" w:ascii="宋体" w:hAnsi="宋体" w:cs="宋体"/>
          <w:spacing w:val="5"/>
          <w:sz w:val="24"/>
        </w:rPr>
        <w:t>）；</w:t>
      </w:r>
    </w:p>
    <w:p w14:paraId="35577753">
      <w:pPr>
        <w:pStyle w:val="5"/>
        <w:pageBreakBefore w:val="0"/>
        <w:widowControl w:val="0"/>
        <w:kinsoku/>
        <w:wordWrap/>
        <w:overflowPunct/>
        <w:topLinePunct w:val="0"/>
        <w:autoSpaceDE/>
        <w:autoSpaceDN/>
        <w:bidi w:val="0"/>
        <w:adjustRightInd/>
        <w:snapToGrid/>
        <w:spacing w:before="1" w:line="320" w:lineRule="atLeast"/>
        <w:ind w:left="733"/>
        <w:textAlignment w:val="auto"/>
        <w:rPr>
          <w:rFonts w:hint="eastAsia" w:ascii="宋体" w:hAnsi="宋体" w:cs="宋体"/>
          <w:sz w:val="24"/>
        </w:rPr>
      </w:pPr>
      <w:r>
        <w:rPr>
          <w:rFonts w:hint="eastAsia" w:ascii="宋体" w:hAnsi="宋体" w:cs="宋体"/>
          <w:spacing w:val="-4"/>
          <w:sz w:val="24"/>
        </w:rPr>
        <w:t>（2）本合同；</w:t>
      </w:r>
    </w:p>
    <w:p w14:paraId="2DB54B66">
      <w:pPr>
        <w:pStyle w:val="5"/>
        <w:pageBreakBefore w:val="0"/>
        <w:widowControl w:val="0"/>
        <w:kinsoku/>
        <w:wordWrap/>
        <w:overflowPunct/>
        <w:topLinePunct w:val="0"/>
        <w:autoSpaceDE/>
        <w:autoSpaceDN/>
        <w:bidi w:val="0"/>
        <w:adjustRightInd/>
        <w:snapToGrid/>
        <w:spacing w:before="2" w:line="320" w:lineRule="atLeast"/>
        <w:ind w:left="406" w:right="226" w:firstLine="327"/>
        <w:textAlignment w:val="auto"/>
        <w:rPr>
          <w:rFonts w:hint="eastAsia" w:ascii="宋体" w:hAnsi="宋体" w:cs="宋体"/>
          <w:sz w:val="24"/>
        </w:rPr>
      </w:pPr>
      <w:r>
        <w:rPr>
          <w:rFonts w:hint="eastAsia" w:ascii="宋体" w:hAnsi="宋体" w:cs="宋体"/>
          <w:spacing w:val="4"/>
          <w:sz w:val="24"/>
        </w:rPr>
        <w:t>（3）广西壮族自治区  广西壮族自治区预算单位“政采云”电子卖场网上超市一张网供应商征集入围项目</w:t>
      </w:r>
      <w:r>
        <w:rPr>
          <w:rFonts w:hint="eastAsia" w:ascii="宋体" w:hAnsi="宋体" w:cs="宋体"/>
          <w:spacing w:val="3"/>
          <w:sz w:val="24"/>
        </w:rPr>
        <w:t>-</w:t>
      </w:r>
      <w:r>
        <w:rPr>
          <w:rFonts w:hint="eastAsia" w:ascii="宋体" w:hAnsi="宋体" w:cs="宋体"/>
          <w:spacing w:val="3"/>
          <w:sz w:val="24"/>
          <w:u w:val="single"/>
        </w:rPr>
        <w:t xml:space="preserve">   </w:t>
      </w:r>
      <w:r>
        <w:rPr>
          <w:rFonts w:hint="eastAsia" w:ascii="宋体" w:hAnsi="宋体" w:cs="宋体"/>
          <w:spacing w:val="2"/>
          <w:sz w:val="24"/>
        </w:rPr>
        <w:t xml:space="preserve"> 电子卖场（网上超市）项目协议书和承诺书；</w:t>
      </w:r>
    </w:p>
    <w:p w14:paraId="6FE21862">
      <w:pPr>
        <w:pStyle w:val="5"/>
        <w:pageBreakBefore w:val="0"/>
        <w:widowControl w:val="0"/>
        <w:kinsoku/>
        <w:wordWrap/>
        <w:overflowPunct/>
        <w:topLinePunct w:val="0"/>
        <w:autoSpaceDE/>
        <w:autoSpaceDN/>
        <w:bidi w:val="0"/>
        <w:adjustRightInd/>
        <w:snapToGrid/>
        <w:spacing w:before="2" w:line="320" w:lineRule="atLeast"/>
        <w:ind w:left="733"/>
        <w:textAlignment w:val="auto"/>
        <w:rPr>
          <w:rFonts w:hint="eastAsia" w:ascii="宋体" w:hAnsi="宋体" w:cs="宋体"/>
          <w:sz w:val="24"/>
        </w:rPr>
      </w:pPr>
      <w:r>
        <w:rPr>
          <w:rFonts w:hint="eastAsia" w:ascii="宋体" w:hAnsi="宋体" w:cs="宋体"/>
          <w:spacing w:val="-3"/>
          <w:sz w:val="24"/>
        </w:rPr>
        <w:t>（4）投标文件；</w:t>
      </w:r>
    </w:p>
    <w:p w14:paraId="7BCD3476">
      <w:pPr>
        <w:pStyle w:val="5"/>
        <w:pageBreakBefore w:val="0"/>
        <w:widowControl w:val="0"/>
        <w:kinsoku/>
        <w:wordWrap/>
        <w:overflowPunct/>
        <w:topLinePunct w:val="0"/>
        <w:autoSpaceDE/>
        <w:autoSpaceDN/>
        <w:bidi w:val="0"/>
        <w:adjustRightInd/>
        <w:snapToGrid/>
        <w:spacing w:line="320" w:lineRule="atLeast"/>
        <w:ind w:left="733"/>
        <w:textAlignment w:val="auto"/>
        <w:rPr>
          <w:rFonts w:hint="eastAsia" w:ascii="宋体" w:hAnsi="宋体" w:cs="宋体"/>
          <w:sz w:val="24"/>
        </w:rPr>
      </w:pPr>
      <w:r>
        <w:rPr>
          <w:rFonts w:hint="eastAsia" w:ascii="宋体" w:hAnsi="宋体" w:cs="宋体"/>
          <w:spacing w:val="-2"/>
          <w:sz w:val="24"/>
        </w:rPr>
        <w:t>（5）其他合同文件。</w:t>
      </w:r>
    </w:p>
    <w:p w14:paraId="72690E2B">
      <w:pPr>
        <w:pStyle w:val="5"/>
        <w:pageBreakBefore w:val="0"/>
        <w:widowControl w:val="0"/>
        <w:kinsoku/>
        <w:wordWrap/>
        <w:overflowPunct/>
        <w:topLinePunct w:val="0"/>
        <w:autoSpaceDE/>
        <w:autoSpaceDN/>
        <w:bidi w:val="0"/>
        <w:adjustRightInd/>
        <w:snapToGrid/>
        <w:spacing w:before="17" w:line="320" w:lineRule="exact"/>
        <w:ind w:firstLine="492" w:firstLineChars="200"/>
        <w:textAlignment w:val="auto"/>
        <w:rPr>
          <w:rFonts w:hint="eastAsia" w:ascii="宋体" w:hAnsi="宋体" w:cs="宋体"/>
          <w:sz w:val="24"/>
        </w:rPr>
      </w:pPr>
      <w:r>
        <w:rPr>
          <w:rFonts w:hint="eastAsia" w:ascii="宋体" w:hAnsi="宋体" w:cs="宋体"/>
          <w:spacing w:val="3"/>
          <w:sz w:val="24"/>
        </w:rPr>
        <w:t>2、</w:t>
      </w:r>
      <w:r>
        <w:rPr>
          <w:rFonts w:hint="eastAsia" w:ascii="宋体" w:hAnsi="宋体" w:cs="宋体"/>
          <w:color w:val="FF0000"/>
          <w:spacing w:val="4"/>
          <w:sz w:val="24"/>
          <w:u w:val="single"/>
        </w:rPr>
        <w:t>双方在本合同所留地址为双方送达书面通知及法院送达诉讼、裁判、执行等文书的送达地址。如有变更，应在变更后五日内以书面形式通知另一</w:t>
      </w:r>
      <w:r>
        <w:rPr>
          <w:rFonts w:hint="eastAsia" w:ascii="宋体" w:hAnsi="宋体" w:cs="宋体"/>
          <w:color w:val="FF0000"/>
          <w:spacing w:val="3"/>
          <w:sz w:val="24"/>
          <w:u w:val="single"/>
        </w:rPr>
        <w:t>方。否则，承担通知无法送达的责任。一方或法院向对方送达的通知，受送达方应即时签收。如因受送达方的原因导致通知不能送</w:t>
      </w:r>
      <w:r>
        <w:rPr>
          <w:rFonts w:hint="eastAsia" w:ascii="宋体" w:hAnsi="宋体" w:cs="宋体"/>
          <w:color w:val="FF0000"/>
          <w:spacing w:val="2"/>
          <w:sz w:val="24"/>
          <w:u w:val="single"/>
        </w:rPr>
        <w:t xml:space="preserve">达或受送达方拒绝签收的，邮寄凭证作为受送达方已签收的依据，法院送达的文书或送达方送达的通知等自寄出后(以邮寄凭证上投寄日期起算)第五日视为送达。 </w:t>
      </w:r>
    </w:p>
    <w:p w14:paraId="0F29CA96">
      <w:pPr>
        <w:pStyle w:val="5"/>
        <w:pageBreakBefore w:val="0"/>
        <w:widowControl w:val="0"/>
        <w:kinsoku/>
        <w:wordWrap/>
        <w:overflowPunct/>
        <w:topLinePunct w:val="0"/>
        <w:autoSpaceDE/>
        <w:autoSpaceDN/>
        <w:bidi w:val="0"/>
        <w:adjustRightInd/>
        <w:snapToGrid/>
        <w:spacing w:before="1" w:line="320" w:lineRule="exact"/>
        <w:ind w:firstLine="492" w:firstLineChars="200"/>
        <w:textAlignment w:val="auto"/>
        <w:rPr>
          <w:rFonts w:hint="eastAsia" w:ascii="宋体" w:hAnsi="宋体" w:cs="宋体"/>
          <w:sz w:val="24"/>
        </w:rPr>
      </w:pPr>
      <w:r>
        <w:rPr>
          <w:rFonts w:hint="eastAsia" w:ascii="宋体" w:hAnsi="宋体" w:cs="宋体"/>
          <w:spacing w:val="3"/>
          <w:sz w:val="24"/>
        </w:rPr>
        <w:t>3、本合同经甲乙双方加盖公章后生效。合同内容如遇国家法律、法规及政策另有规定的，从其规定。</w:t>
      </w:r>
    </w:p>
    <w:p w14:paraId="7EA45D6A">
      <w:pPr>
        <w:pStyle w:val="5"/>
        <w:pageBreakBefore w:val="0"/>
        <w:widowControl w:val="0"/>
        <w:kinsoku/>
        <w:wordWrap/>
        <w:overflowPunct/>
        <w:topLinePunct w:val="0"/>
        <w:autoSpaceDE/>
        <w:autoSpaceDN/>
        <w:bidi w:val="0"/>
        <w:adjustRightInd/>
        <w:snapToGrid/>
        <w:spacing w:before="1" w:line="320" w:lineRule="exact"/>
        <w:ind w:firstLine="488" w:firstLineChars="200"/>
        <w:textAlignment w:val="auto"/>
        <w:rPr>
          <w:rFonts w:hint="eastAsia" w:ascii="宋体" w:hAnsi="宋体" w:cs="宋体"/>
          <w:sz w:val="24"/>
        </w:rPr>
      </w:pPr>
      <w:r>
        <w:rPr>
          <w:rFonts w:hint="eastAsia" w:ascii="宋体" w:hAnsi="宋体" w:cs="宋体"/>
          <w:spacing w:val="2"/>
          <w:sz w:val="24"/>
        </w:rPr>
        <w:t>4、</w:t>
      </w:r>
      <w:r>
        <w:rPr>
          <w:rFonts w:hint="eastAsia" w:ascii="宋体" w:hAnsi="宋体" w:cs="宋体"/>
          <w:spacing w:val="3"/>
          <w:sz w:val="24"/>
        </w:rPr>
        <w:t>本合同一式</w:t>
      </w:r>
      <w:r>
        <w:rPr>
          <w:rFonts w:hint="eastAsia" w:ascii="宋体" w:hAnsi="宋体" w:cs="宋体"/>
          <w:spacing w:val="3"/>
          <w:sz w:val="24"/>
          <w:u w:val="single"/>
        </w:rPr>
        <w:t xml:space="preserve">  两</w:t>
      </w:r>
      <w:r>
        <w:rPr>
          <w:rFonts w:hint="eastAsia" w:ascii="宋体" w:hAnsi="宋体" w:cs="宋体"/>
          <w:position w:val="-2"/>
          <w:sz w:val="24"/>
          <w:u w:val="single"/>
        </w:rPr>
        <w:drawing>
          <wp:inline distT="0" distB="0" distL="114300" distR="114300">
            <wp:extent cx="28575" cy="6985"/>
            <wp:effectExtent l="0" t="0" r="0" b="0"/>
            <wp:docPr id="2" name="图片 4"/>
            <wp:cNvGraphicFramePr/>
            <a:graphic xmlns:a="http://schemas.openxmlformats.org/drawingml/2006/main">
              <a:graphicData uri="http://schemas.openxmlformats.org/drawingml/2006/picture">
                <pic:pic xmlns:pic="http://schemas.openxmlformats.org/drawingml/2006/picture">
                  <pic:nvPicPr>
                    <pic:cNvPr id="2" name="图片 4"/>
                    <pic:cNvPicPr/>
                  </pic:nvPicPr>
                  <pic:blipFill>
                    <a:blip r:embed="rId9"/>
                    <a:stretch>
                      <a:fillRect/>
                    </a:stretch>
                  </pic:blipFill>
                  <pic:spPr>
                    <a:xfrm>
                      <a:off x="0" y="0"/>
                      <a:ext cx="28575" cy="6985"/>
                    </a:xfrm>
                    <a:prstGeom prst="rect">
                      <a:avLst/>
                    </a:prstGeom>
                    <a:noFill/>
                    <a:ln>
                      <a:noFill/>
                    </a:ln>
                  </pic:spPr>
                </pic:pic>
              </a:graphicData>
            </a:graphic>
          </wp:inline>
        </w:drawing>
      </w:r>
      <w:r>
        <w:rPr>
          <w:rFonts w:hint="eastAsia" w:ascii="宋体" w:hAnsi="宋体" w:cs="宋体"/>
          <w:spacing w:val="3"/>
          <w:sz w:val="24"/>
        </w:rPr>
        <w:t xml:space="preserve">份，甲乙双方各执 </w:t>
      </w:r>
      <w:r>
        <w:rPr>
          <w:rFonts w:hint="eastAsia" w:ascii="宋体" w:hAnsi="宋体" w:cs="宋体"/>
          <w:spacing w:val="3"/>
          <w:sz w:val="24"/>
          <w:u w:val="single"/>
        </w:rPr>
        <w:t xml:space="preserve"> 一</w:t>
      </w:r>
      <w:r>
        <w:rPr>
          <w:rFonts w:hint="eastAsia" w:ascii="宋体" w:hAnsi="宋体" w:cs="宋体"/>
          <w:position w:val="-2"/>
          <w:sz w:val="24"/>
          <w:u w:val="single"/>
        </w:rPr>
        <w:drawing>
          <wp:inline distT="0" distB="0" distL="114300" distR="114300">
            <wp:extent cx="28575" cy="6985"/>
            <wp:effectExtent l="0" t="0" r="0" b="0"/>
            <wp:docPr id="3" name="图片 5"/>
            <wp:cNvGraphicFramePr/>
            <a:graphic xmlns:a="http://schemas.openxmlformats.org/drawingml/2006/main">
              <a:graphicData uri="http://schemas.openxmlformats.org/drawingml/2006/picture">
                <pic:pic xmlns:pic="http://schemas.openxmlformats.org/drawingml/2006/picture">
                  <pic:nvPicPr>
                    <pic:cNvPr id="3" name="图片 5"/>
                    <pic:cNvPicPr/>
                  </pic:nvPicPr>
                  <pic:blipFill>
                    <a:blip r:embed="rId9"/>
                    <a:stretch>
                      <a:fillRect/>
                    </a:stretch>
                  </pic:blipFill>
                  <pic:spPr>
                    <a:xfrm>
                      <a:off x="0" y="0"/>
                      <a:ext cx="28575" cy="6985"/>
                    </a:xfrm>
                    <a:prstGeom prst="rect">
                      <a:avLst/>
                    </a:prstGeom>
                    <a:noFill/>
                    <a:ln>
                      <a:noFill/>
                    </a:ln>
                  </pic:spPr>
                </pic:pic>
              </a:graphicData>
            </a:graphic>
          </wp:inline>
        </w:drawing>
      </w:r>
      <w:r>
        <w:rPr>
          <w:rFonts w:hint="eastAsia" w:ascii="宋体" w:hAnsi="宋体" w:cs="宋体"/>
          <w:spacing w:val="2"/>
          <w:sz w:val="24"/>
        </w:rPr>
        <w:t>份，具有同等法律效力。</w:t>
      </w:r>
    </w:p>
    <w:p w14:paraId="2B06E9A3">
      <w:pPr>
        <w:keepNext/>
        <w:keepLines/>
        <w:pageBreakBefore w:val="0"/>
        <w:widowControl w:val="0"/>
        <w:kinsoku/>
        <w:wordWrap/>
        <w:overflowPunct/>
        <w:topLinePunct w:val="0"/>
        <w:autoSpaceDE/>
        <w:autoSpaceDN/>
        <w:bidi w:val="0"/>
        <w:adjustRightInd/>
        <w:snapToGrid/>
        <w:spacing w:before="260" w:after="260" w:line="320" w:lineRule="exact"/>
        <w:textAlignment w:val="auto"/>
        <w:outlineLvl w:val="1"/>
        <w:rPr>
          <w:rFonts w:hint="eastAsia" w:ascii="黑体" w:hAnsi="黑体" w:eastAsia="黑体" w:cs="黑体"/>
          <w:b/>
          <w:sz w:val="44"/>
          <w:szCs w:val="44"/>
        </w:rPr>
      </w:pPr>
      <w:r>
        <w:rPr>
          <w:rFonts w:hint="eastAsia" w:ascii="宋体" w:hAnsi="宋体" w:cs="宋体"/>
          <w:sz w:val="24"/>
          <w:u w:val="single"/>
        </w:rPr>
        <w:br w:type="page"/>
      </w:r>
      <w:r>
        <w:rPr>
          <w:rFonts w:hint="eastAsia" w:ascii="黑体" w:hAnsi="黑体" w:eastAsia="黑体" w:cs="黑体"/>
          <w:b/>
          <w:sz w:val="44"/>
          <w:szCs w:val="44"/>
        </w:rPr>
        <w:t>第四章  响应文件格式</w:t>
      </w:r>
      <w:bookmarkStart w:id="9" w:name="_Toc217446082"/>
    </w:p>
    <w:bookmarkEnd w:id="9"/>
    <w:p w14:paraId="74743ED9">
      <w:pPr>
        <w:keepNext/>
        <w:keepLines/>
        <w:spacing w:before="260" w:after="260" w:line="360" w:lineRule="auto"/>
        <w:jc w:val="center"/>
        <w:outlineLvl w:val="1"/>
        <w:rPr>
          <w:rFonts w:hint="eastAsia" w:ascii="宋体" w:hAnsi="宋体" w:cs="宋体"/>
          <w:b/>
          <w:sz w:val="32"/>
          <w:szCs w:val="32"/>
        </w:rPr>
      </w:pPr>
      <w:bookmarkStart w:id="10" w:name="_Toc317509430"/>
      <w:bookmarkStart w:id="11" w:name="_Toc217446085"/>
      <w:bookmarkStart w:id="12" w:name="_Toc325464859"/>
      <w:r>
        <w:rPr>
          <w:rFonts w:hint="eastAsia" w:ascii="宋体" w:hAnsi="宋体" w:cs="宋体"/>
          <w:b/>
          <w:sz w:val="32"/>
          <w:szCs w:val="32"/>
        </w:rPr>
        <w:t>一、法定代表人授权委托书</w:t>
      </w:r>
    </w:p>
    <w:p w14:paraId="2C3454AB">
      <w:pPr>
        <w:spacing w:line="360" w:lineRule="auto"/>
        <w:jc w:val="left"/>
        <w:rPr>
          <w:rFonts w:ascii="宋体" w:hAnsi="宋体"/>
          <w:sz w:val="32"/>
          <w:szCs w:val="32"/>
        </w:rPr>
      </w:pPr>
      <w:r>
        <w:rPr>
          <w:rFonts w:hint="eastAsia" w:ascii="宋体" w:hAnsi="宋体"/>
          <w:sz w:val="32"/>
          <w:szCs w:val="32"/>
        </w:rPr>
        <w:t>致：</w:t>
      </w:r>
      <w:r>
        <w:rPr>
          <w:rFonts w:hint="eastAsia" w:ascii="宋体" w:hAnsi="宋体"/>
          <w:sz w:val="32"/>
          <w:szCs w:val="32"/>
          <w:u w:val="single"/>
        </w:rPr>
        <w:t xml:space="preserve"> 广西交通技师学院</w:t>
      </w:r>
      <w:r>
        <w:rPr>
          <w:rFonts w:ascii="宋体" w:hAnsi="宋体"/>
          <w:sz w:val="32"/>
          <w:szCs w:val="32"/>
          <w:u w:val="single"/>
        </w:rPr>
        <w:t xml:space="preserve"> </w:t>
      </w:r>
      <w:r>
        <w:rPr>
          <w:rFonts w:hint="eastAsia" w:ascii="宋体" w:hAnsi="宋体"/>
          <w:sz w:val="32"/>
          <w:szCs w:val="32"/>
        </w:rPr>
        <w:t xml:space="preserve">（采购人名称）：   </w:t>
      </w:r>
    </w:p>
    <w:p w14:paraId="2639F0CC">
      <w:pPr>
        <w:spacing w:line="360" w:lineRule="auto"/>
        <w:ind w:firstLine="640" w:firstLineChars="200"/>
        <w:jc w:val="left"/>
        <w:rPr>
          <w:rFonts w:ascii="宋体" w:hAnsi="宋体"/>
          <w:sz w:val="32"/>
          <w:szCs w:val="32"/>
        </w:rPr>
      </w:pPr>
      <w:r>
        <w:rPr>
          <w:rFonts w:hint="eastAsia" w:ascii="宋体" w:hAnsi="宋体"/>
          <w:sz w:val="32"/>
          <w:szCs w:val="32"/>
        </w:rPr>
        <w:t>本人</w:t>
      </w:r>
      <w:r>
        <w:rPr>
          <w:rFonts w:hint="eastAsia" w:ascii="宋体" w:hAnsi="宋体"/>
          <w:sz w:val="32"/>
          <w:szCs w:val="32"/>
          <w:u w:val="single"/>
        </w:rPr>
        <w:t xml:space="preserve">          （姓名） </w:t>
      </w:r>
      <w:r>
        <w:rPr>
          <w:rFonts w:hint="eastAsia" w:ascii="宋体" w:hAnsi="宋体"/>
          <w:sz w:val="32"/>
          <w:szCs w:val="32"/>
        </w:rPr>
        <w:t>系</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（响应人全称）</w:t>
      </w:r>
      <w:r>
        <w:rPr>
          <w:rFonts w:hint="eastAsia" w:ascii="宋体" w:hAnsi="宋体"/>
          <w:sz w:val="32"/>
          <w:szCs w:val="32"/>
        </w:rPr>
        <w:t>的法定代表人，现授权委托</w:t>
      </w:r>
      <w:r>
        <w:rPr>
          <w:rFonts w:hint="eastAsia" w:ascii="宋体" w:hAnsi="宋体"/>
          <w:sz w:val="32"/>
          <w:szCs w:val="32"/>
          <w:u w:val="single"/>
        </w:rPr>
        <w:t xml:space="preserve">          （被委托人姓名、职务）</w:t>
      </w:r>
      <w:r>
        <w:rPr>
          <w:rFonts w:hint="eastAsia" w:ascii="宋体" w:hAnsi="宋体"/>
          <w:sz w:val="32"/>
          <w:szCs w:val="32"/>
        </w:rPr>
        <w:t>为我公司代理人，以本公司的名义参加</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（项目名称） </w:t>
      </w:r>
      <w:r>
        <w:rPr>
          <w:rFonts w:hint="eastAsia" w:ascii="宋体" w:hAnsi="宋体"/>
          <w:sz w:val="32"/>
          <w:szCs w:val="32"/>
        </w:rPr>
        <w:t>询价活动。代理人在询价活动过程中所签署的一切文件和处理与之有关的一切事务，均为代表本公司的行为，与本人的行为具有同等法律效力。本公司将承担代理人行为的一切法律责任和后果。</w:t>
      </w:r>
    </w:p>
    <w:p w14:paraId="0034E982">
      <w:pPr>
        <w:spacing w:line="360" w:lineRule="auto"/>
        <w:ind w:firstLine="640" w:firstLineChars="200"/>
        <w:jc w:val="left"/>
        <w:rPr>
          <w:rFonts w:ascii="宋体" w:hAnsi="宋体"/>
          <w:sz w:val="32"/>
          <w:szCs w:val="32"/>
        </w:rPr>
      </w:pPr>
      <w:r>
        <w:rPr>
          <w:rFonts w:hint="eastAsia" w:ascii="宋体" w:hAnsi="宋体"/>
          <w:sz w:val="32"/>
          <w:szCs w:val="32"/>
        </w:rPr>
        <w:t>代理人无转委托权，特此委托。</w:t>
      </w:r>
    </w:p>
    <w:p w14:paraId="1AC1983F">
      <w:pPr>
        <w:spacing w:line="360" w:lineRule="auto"/>
        <w:jc w:val="left"/>
        <w:rPr>
          <w:rFonts w:ascii="宋体" w:hAnsi="宋体"/>
          <w:sz w:val="32"/>
          <w:szCs w:val="32"/>
        </w:rPr>
      </w:pPr>
    </w:p>
    <w:p w14:paraId="61FE3BAA">
      <w:pPr>
        <w:spacing w:line="360" w:lineRule="auto"/>
        <w:ind w:firstLine="1920" w:firstLineChars="600"/>
        <w:rPr>
          <w:rFonts w:ascii="宋体" w:hAnsi="宋体"/>
          <w:sz w:val="32"/>
          <w:szCs w:val="32"/>
        </w:rPr>
      </w:pPr>
      <w:r>
        <w:rPr>
          <w:rFonts w:hint="eastAsia" w:ascii="宋体" w:hAnsi="宋体"/>
          <w:sz w:val="32"/>
          <w:szCs w:val="32"/>
        </w:rPr>
        <w:t>代理人：</w:t>
      </w:r>
      <w:r>
        <w:rPr>
          <w:rFonts w:hint="eastAsia" w:ascii="宋体" w:hAnsi="宋体"/>
          <w:sz w:val="32"/>
          <w:szCs w:val="32"/>
          <w:u w:val="single"/>
        </w:rPr>
        <w:t xml:space="preserve">       （签字）</w:t>
      </w:r>
      <w:r>
        <w:rPr>
          <w:rFonts w:hint="eastAsia" w:ascii="宋体" w:hAnsi="宋体"/>
          <w:sz w:val="32"/>
          <w:szCs w:val="32"/>
        </w:rPr>
        <w:t>性别：</w:t>
      </w:r>
      <w:r>
        <w:rPr>
          <w:rFonts w:hint="eastAsia" w:ascii="宋体" w:hAnsi="宋体"/>
          <w:sz w:val="32"/>
          <w:szCs w:val="32"/>
          <w:u w:val="single"/>
        </w:rPr>
        <w:t xml:space="preserve">     </w:t>
      </w:r>
      <w:r>
        <w:rPr>
          <w:rFonts w:hint="eastAsia" w:ascii="宋体" w:hAnsi="宋体"/>
          <w:sz w:val="32"/>
          <w:szCs w:val="32"/>
        </w:rPr>
        <w:t>年龄：</w:t>
      </w:r>
      <w:r>
        <w:rPr>
          <w:rFonts w:hint="eastAsia" w:ascii="宋体" w:hAnsi="宋体"/>
          <w:sz w:val="32"/>
          <w:szCs w:val="32"/>
          <w:u w:val="single"/>
        </w:rPr>
        <w:t xml:space="preserve">     </w:t>
      </w:r>
    </w:p>
    <w:p w14:paraId="3DAFD557">
      <w:pPr>
        <w:spacing w:line="360" w:lineRule="auto"/>
        <w:ind w:firstLine="1920" w:firstLineChars="600"/>
        <w:rPr>
          <w:rFonts w:ascii="宋体" w:hAnsi="宋体"/>
          <w:sz w:val="32"/>
          <w:szCs w:val="32"/>
        </w:rPr>
      </w:pPr>
      <w:r>
        <w:rPr>
          <w:rFonts w:hint="eastAsia" w:ascii="宋体" w:hAnsi="宋体"/>
          <w:sz w:val="32"/>
          <w:szCs w:val="32"/>
        </w:rPr>
        <w:t>身份证号码：</w:t>
      </w:r>
      <w:r>
        <w:rPr>
          <w:rFonts w:hint="eastAsia" w:ascii="宋体" w:hAnsi="宋体"/>
          <w:sz w:val="32"/>
          <w:szCs w:val="32"/>
          <w:u w:val="single"/>
        </w:rPr>
        <w:t xml:space="preserve">                                 </w:t>
      </w:r>
    </w:p>
    <w:p w14:paraId="67CBA7E3">
      <w:pPr>
        <w:spacing w:line="360" w:lineRule="auto"/>
        <w:ind w:firstLine="1920" w:firstLineChars="600"/>
        <w:rPr>
          <w:rFonts w:ascii="宋体" w:hAnsi="宋体"/>
          <w:sz w:val="32"/>
          <w:szCs w:val="32"/>
          <w:u w:val="single"/>
        </w:rPr>
      </w:pPr>
      <w:r>
        <w:rPr>
          <w:rFonts w:hint="eastAsia" w:ascii="宋体" w:hAnsi="宋体"/>
          <w:sz w:val="32"/>
          <w:szCs w:val="32"/>
        </w:rPr>
        <w:t>响应人（盖章）：</w:t>
      </w:r>
      <w:r>
        <w:rPr>
          <w:rFonts w:hint="eastAsia" w:ascii="宋体" w:hAnsi="宋体"/>
          <w:sz w:val="32"/>
          <w:szCs w:val="32"/>
          <w:u w:val="single"/>
        </w:rPr>
        <w:t xml:space="preserve">                              </w:t>
      </w:r>
    </w:p>
    <w:p w14:paraId="02CA0352">
      <w:pPr>
        <w:spacing w:line="360" w:lineRule="auto"/>
        <w:ind w:firstLine="1920" w:firstLineChars="600"/>
        <w:rPr>
          <w:rFonts w:ascii="宋体" w:hAnsi="宋体"/>
          <w:sz w:val="32"/>
          <w:szCs w:val="32"/>
          <w:u w:val="single"/>
        </w:rPr>
      </w:pPr>
      <w:r>
        <w:rPr>
          <w:rFonts w:hint="eastAsia" w:ascii="宋体" w:hAnsi="宋体"/>
          <w:sz w:val="32"/>
          <w:szCs w:val="32"/>
        </w:rPr>
        <w:t>法定代表人（签字或盖章）：</w:t>
      </w:r>
      <w:r>
        <w:rPr>
          <w:rFonts w:hint="eastAsia" w:ascii="宋体" w:hAnsi="宋体"/>
          <w:sz w:val="32"/>
          <w:szCs w:val="32"/>
          <w:u w:val="single"/>
        </w:rPr>
        <w:t xml:space="preserve">                    </w:t>
      </w:r>
    </w:p>
    <w:p w14:paraId="00A63666">
      <w:pPr>
        <w:spacing w:line="360" w:lineRule="auto"/>
        <w:ind w:firstLine="1920" w:firstLineChars="600"/>
        <w:rPr>
          <w:rFonts w:ascii="宋体" w:hAnsi="宋体"/>
          <w:sz w:val="32"/>
          <w:szCs w:val="32"/>
        </w:rPr>
      </w:pPr>
      <w:r>
        <w:rPr>
          <w:rFonts w:hint="eastAsia" w:ascii="宋体" w:hAnsi="宋体"/>
          <w:sz w:val="32"/>
          <w:szCs w:val="32"/>
        </w:rPr>
        <w:t>授权委托日期：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 xml:space="preserve">月 </w:t>
      </w:r>
      <w:r>
        <w:rPr>
          <w:rFonts w:hint="eastAsia" w:ascii="宋体" w:hAnsi="宋体"/>
          <w:sz w:val="32"/>
          <w:szCs w:val="32"/>
          <w:u w:val="single"/>
        </w:rPr>
        <w:t xml:space="preserve">       </w:t>
      </w:r>
      <w:r>
        <w:rPr>
          <w:rFonts w:hint="eastAsia" w:ascii="宋体" w:hAnsi="宋体"/>
          <w:sz w:val="32"/>
          <w:szCs w:val="32"/>
        </w:rPr>
        <w:t>日</w:t>
      </w:r>
    </w:p>
    <w:p w14:paraId="4159219B">
      <w:pPr>
        <w:spacing w:line="360" w:lineRule="auto"/>
        <w:jc w:val="left"/>
        <w:rPr>
          <w:rFonts w:ascii="宋体" w:hAnsi="宋体"/>
          <w:sz w:val="32"/>
          <w:szCs w:val="32"/>
        </w:rPr>
      </w:pPr>
    </w:p>
    <w:p w14:paraId="276BDD4B">
      <w:pPr>
        <w:spacing w:line="360" w:lineRule="auto"/>
        <w:jc w:val="left"/>
        <w:rPr>
          <w:rFonts w:ascii="宋体" w:hAnsi="宋体"/>
          <w:sz w:val="32"/>
          <w:szCs w:val="32"/>
        </w:rPr>
      </w:pPr>
      <w:r>
        <w:rPr>
          <w:rFonts w:hint="eastAsia" w:ascii="宋体" w:hAnsi="宋体"/>
          <w:sz w:val="32"/>
          <w:szCs w:val="32"/>
        </w:rPr>
        <w:t>注：1、附法定代表人及委托代理人身份证复印件并加盖单位公章。</w:t>
      </w:r>
    </w:p>
    <w:p w14:paraId="64DC1F0F">
      <w:pPr>
        <w:spacing w:line="360" w:lineRule="auto"/>
        <w:ind w:firstLine="640" w:firstLineChars="200"/>
        <w:rPr>
          <w:rFonts w:hint="eastAsia" w:ascii="宋体" w:hAnsi="宋体" w:cs="宋体"/>
          <w:b/>
          <w:sz w:val="28"/>
          <w:szCs w:val="20"/>
        </w:rPr>
      </w:pPr>
      <w:r>
        <w:rPr>
          <w:rFonts w:hint="eastAsia" w:ascii="宋体" w:hAnsi="宋体"/>
          <w:sz w:val="32"/>
          <w:szCs w:val="32"/>
        </w:rPr>
        <w:t>2、响应人的法定代表人直接参加询价活动的，不提供授权书。</w:t>
      </w:r>
      <w:bookmarkEnd w:id="10"/>
      <w:bookmarkEnd w:id="11"/>
      <w:bookmarkEnd w:id="12"/>
      <w:bookmarkStart w:id="13" w:name="_Toc217446087"/>
      <w:bookmarkStart w:id="14" w:name="_Toc317509431"/>
      <w:bookmarkStart w:id="15" w:name="_Toc325464860"/>
    </w:p>
    <w:p w14:paraId="62DE8F1E">
      <w:pPr>
        <w:keepNext/>
        <w:keepLines/>
        <w:spacing w:before="260" w:after="260"/>
        <w:ind w:firstLine="3855" w:firstLineChars="1200"/>
        <w:outlineLvl w:val="1"/>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二、</w:t>
      </w:r>
      <w:bookmarkEnd w:id="13"/>
      <w:bookmarkEnd w:id="14"/>
      <w:r>
        <w:rPr>
          <w:rFonts w:hint="eastAsia" w:ascii="宋体" w:hAnsi="宋体" w:cs="宋体"/>
          <w:b/>
          <w:sz w:val="32"/>
          <w:szCs w:val="32"/>
        </w:rPr>
        <w:t>报价表</w:t>
      </w:r>
      <w:bookmarkEnd w:id="15"/>
    </w:p>
    <w:p w14:paraId="2C3C10EF">
      <w:pPr>
        <w:keepNext/>
        <w:keepLines/>
        <w:spacing w:before="260" w:after="260"/>
        <w:jc w:val="center"/>
        <w:outlineLvl w:val="1"/>
        <w:rPr>
          <w:rFonts w:hint="eastAsia" w:ascii="宋体" w:hAnsi="宋体" w:eastAsia="宋体" w:cs="宋体"/>
          <w:b w:val="0"/>
          <w:bCs w:val="0"/>
          <w:sz w:val="36"/>
          <w:szCs w:val="36"/>
          <w:u w:val="none"/>
          <w:lang w:val="en-US" w:eastAsia="zh-CN"/>
        </w:rPr>
      </w:pPr>
      <w:r>
        <w:rPr>
          <w:rFonts w:hint="eastAsia" w:ascii="宋体" w:hAnsi="宋体" w:cs="宋体"/>
          <w:b w:val="0"/>
          <w:bCs w:val="0"/>
          <w:sz w:val="36"/>
          <w:szCs w:val="36"/>
          <w:u w:val="none"/>
        </w:rPr>
        <w:t>交互智能平板一体机</w:t>
      </w:r>
      <w:r>
        <w:rPr>
          <w:rFonts w:hint="eastAsia" w:ascii="宋体" w:hAnsi="宋体" w:cs="宋体"/>
          <w:b w:val="0"/>
          <w:bCs w:val="0"/>
          <w:sz w:val="36"/>
          <w:szCs w:val="36"/>
          <w:u w:val="none"/>
          <w:lang w:eastAsia="zh-CN"/>
        </w:rPr>
        <w:t>、</w:t>
      </w:r>
      <w:r>
        <w:rPr>
          <w:rFonts w:hint="eastAsia" w:ascii="宋体" w:hAnsi="宋体" w:cs="宋体"/>
          <w:b w:val="0"/>
          <w:bCs w:val="0"/>
          <w:sz w:val="36"/>
          <w:szCs w:val="36"/>
          <w:u w:val="none"/>
        </w:rPr>
        <w:t>立柜式空调</w:t>
      </w:r>
      <w:r>
        <w:rPr>
          <w:rFonts w:hint="eastAsia" w:ascii="宋体" w:hAnsi="宋体" w:cs="宋体"/>
          <w:b w:val="0"/>
          <w:bCs w:val="0"/>
          <w:sz w:val="36"/>
          <w:szCs w:val="36"/>
          <w:u w:val="none"/>
          <w:lang w:val="en-US" w:eastAsia="zh-CN"/>
        </w:rPr>
        <w:t>采购报价表</w:t>
      </w:r>
    </w:p>
    <w:p w14:paraId="2E6A1582">
      <w:pPr>
        <w:pStyle w:val="27"/>
        <w:jc w:val="center"/>
        <w:rPr>
          <w:rFonts w:hint="eastAsia"/>
          <w:bCs/>
          <w:spacing w:val="20"/>
          <w:kern w:val="44"/>
          <w:sz w:val="28"/>
          <w:szCs w:val="28"/>
        </w:rPr>
      </w:pPr>
      <w:r>
        <w:rPr>
          <w:rFonts w:hint="eastAsia"/>
          <w:bCs/>
          <w:spacing w:val="20"/>
          <w:kern w:val="44"/>
          <w:sz w:val="28"/>
          <w:szCs w:val="28"/>
        </w:rPr>
        <w:t>(以项目实际情况编制）</w:t>
      </w:r>
    </w:p>
    <w:tbl>
      <w:tblPr>
        <w:tblStyle w:val="16"/>
        <w:tblpPr w:leftFromText="180" w:rightFromText="180" w:vertAnchor="text" w:horzAnchor="page" w:tblpX="1050" w:tblpY="151"/>
        <w:tblOverlap w:val="never"/>
        <w:tblW w:w="9862" w:type="dxa"/>
        <w:tblInd w:w="0" w:type="dxa"/>
        <w:tblLayout w:type="fixed"/>
        <w:tblCellMar>
          <w:top w:w="0" w:type="dxa"/>
          <w:left w:w="108" w:type="dxa"/>
          <w:bottom w:w="0" w:type="dxa"/>
          <w:right w:w="108" w:type="dxa"/>
        </w:tblCellMar>
      </w:tblPr>
      <w:tblGrid>
        <w:gridCol w:w="737"/>
        <w:gridCol w:w="2630"/>
        <w:gridCol w:w="1789"/>
        <w:gridCol w:w="956"/>
        <w:gridCol w:w="1020"/>
        <w:gridCol w:w="1380"/>
        <w:gridCol w:w="1350"/>
      </w:tblGrid>
      <w:tr w14:paraId="5DDAC6D1">
        <w:tblPrEx>
          <w:tblCellMar>
            <w:top w:w="0" w:type="dxa"/>
            <w:left w:w="108" w:type="dxa"/>
            <w:bottom w:w="0" w:type="dxa"/>
            <w:right w:w="108" w:type="dxa"/>
          </w:tblCellMar>
        </w:tblPrEx>
        <w:trPr>
          <w:trHeight w:val="672" w:hRule="atLeast"/>
        </w:trPr>
        <w:tc>
          <w:tcPr>
            <w:tcW w:w="737" w:type="dxa"/>
            <w:tcBorders>
              <w:top w:val="single" w:color="auto" w:sz="4" w:space="0"/>
              <w:left w:val="single" w:color="auto" w:sz="4" w:space="0"/>
              <w:bottom w:val="single" w:color="auto" w:sz="4" w:space="0"/>
              <w:right w:val="single" w:color="auto" w:sz="4" w:space="0"/>
            </w:tcBorders>
            <w:noWrap/>
            <w:vAlign w:val="center"/>
          </w:tcPr>
          <w:p w14:paraId="25AB8004">
            <w:pPr>
              <w:keepNext w:val="0"/>
              <w:keepLines w:val="0"/>
              <w:suppressLineNumbers w:val="0"/>
              <w:spacing w:before="0" w:beforeAutospacing="0" w:after="0" w:afterAutospacing="0"/>
              <w:ind w:left="0" w:right="0"/>
              <w:jc w:val="center"/>
              <w:rPr>
                <w:rFonts w:hint="default" w:ascii="宋体" w:hAnsi="宋体" w:cs="宋体"/>
                <w:b/>
                <w:sz w:val="24"/>
              </w:rPr>
            </w:pPr>
            <w:r>
              <w:rPr>
                <w:rFonts w:hint="eastAsia" w:ascii="宋体" w:hAnsi="宋体" w:cs="宋体"/>
                <w:b/>
                <w:sz w:val="24"/>
              </w:rPr>
              <w:t>序号</w:t>
            </w:r>
          </w:p>
        </w:tc>
        <w:tc>
          <w:tcPr>
            <w:tcW w:w="2630" w:type="dxa"/>
            <w:tcBorders>
              <w:top w:val="single" w:color="auto" w:sz="4" w:space="0"/>
              <w:left w:val="nil"/>
              <w:bottom w:val="single" w:color="auto" w:sz="4" w:space="0"/>
              <w:right w:val="single" w:color="auto" w:sz="4" w:space="0"/>
            </w:tcBorders>
            <w:noWrap w:val="0"/>
            <w:vAlign w:val="center"/>
          </w:tcPr>
          <w:p w14:paraId="615494A1">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货物（服务、工程）</w:t>
            </w:r>
          </w:p>
          <w:p w14:paraId="69973E17">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名称</w:t>
            </w:r>
          </w:p>
        </w:tc>
        <w:tc>
          <w:tcPr>
            <w:tcW w:w="1789" w:type="dxa"/>
            <w:tcBorders>
              <w:top w:val="single" w:color="auto" w:sz="4" w:space="0"/>
              <w:left w:val="nil"/>
              <w:bottom w:val="single" w:color="auto" w:sz="4" w:space="0"/>
              <w:right w:val="single" w:color="auto" w:sz="4" w:space="0"/>
            </w:tcBorders>
            <w:noWrap/>
            <w:vAlign w:val="center"/>
          </w:tcPr>
          <w:p w14:paraId="77FB590D">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规格型号</w:t>
            </w:r>
          </w:p>
        </w:tc>
        <w:tc>
          <w:tcPr>
            <w:tcW w:w="956" w:type="dxa"/>
            <w:tcBorders>
              <w:top w:val="single" w:color="auto" w:sz="4" w:space="0"/>
              <w:left w:val="nil"/>
              <w:bottom w:val="single" w:color="auto" w:sz="4" w:space="0"/>
              <w:right w:val="single" w:color="auto" w:sz="4" w:space="0"/>
            </w:tcBorders>
            <w:noWrap/>
            <w:vAlign w:val="center"/>
          </w:tcPr>
          <w:p w14:paraId="78FAE03E">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数量</w:t>
            </w:r>
          </w:p>
        </w:tc>
        <w:tc>
          <w:tcPr>
            <w:tcW w:w="1020" w:type="dxa"/>
            <w:tcBorders>
              <w:top w:val="single" w:color="auto" w:sz="4" w:space="0"/>
              <w:left w:val="nil"/>
              <w:bottom w:val="single" w:color="auto" w:sz="4" w:space="0"/>
              <w:right w:val="single" w:color="auto" w:sz="4" w:space="0"/>
            </w:tcBorders>
            <w:noWrap/>
            <w:vAlign w:val="center"/>
          </w:tcPr>
          <w:p w14:paraId="6251E311">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单位</w:t>
            </w:r>
          </w:p>
        </w:tc>
        <w:tc>
          <w:tcPr>
            <w:tcW w:w="1380" w:type="dxa"/>
            <w:tcBorders>
              <w:top w:val="single" w:color="auto" w:sz="4" w:space="0"/>
              <w:left w:val="nil"/>
              <w:bottom w:val="single" w:color="auto" w:sz="4" w:space="0"/>
              <w:right w:val="single" w:color="auto" w:sz="4" w:space="0"/>
            </w:tcBorders>
            <w:noWrap w:val="0"/>
            <w:vAlign w:val="center"/>
          </w:tcPr>
          <w:p w14:paraId="630FCBE1">
            <w:pPr>
              <w:keepNext w:val="0"/>
              <w:keepLines w:val="0"/>
              <w:suppressLineNumbers w:val="0"/>
              <w:spacing w:before="0" w:beforeAutospacing="0" w:after="0" w:afterAutospacing="0"/>
              <w:ind w:left="0" w:right="0"/>
              <w:jc w:val="center"/>
              <w:rPr>
                <w:rFonts w:hint="eastAsia" w:ascii="宋体" w:hAnsi="宋体" w:eastAsia="宋体" w:cs="宋体"/>
                <w:b/>
                <w:sz w:val="24"/>
                <w:lang w:val="en-US" w:eastAsia="zh-CN"/>
              </w:rPr>
            </w:pPr>
            <w:r>
              <w:rPr>
                <w:rFonts w:hint="eastAsia" w:ascii="宋体" w:hAnsi="宋体" w:cs="宋体"/>
                <w:b/>
                <w:sz w:val="24"/>
                <w:lang w:val="en-US" w:eastAsia="zh-CN"/>
              </w:rPr>
              <w:t>金额</w:t>
            </w:r>
          </w:p>
        </w:tc>
        <w:tc>
          <w:tcPr>
            <w:tcW w:w="1350" w:type="dxa"/>
            <w:tcBorders>
              <w:top w:val="single" w:color="auto" w:sz="4" w:space="0"/>
              <w:left w:val="nil"/>
              <w:bottom w:val="single" w:color="auto" w:sz="4" w:space="0"/>
              <w:right w:val="single" w:color="auto" w:sz="4" w:space="0"/>
            </w:tcBorders>
            <w:noWrap w:val="0"/>
            <w:vAlign w:val="center"/>
          </w:tcPr>
          <w:p w14:paraId="20D94DA4">
            <w:pPr>
              <w:keepNext w:val="0"/>
              <w:keepLines w:val="0"/>
              <w:suppressLineNumbers w:val="0"/>
              <w:spacing w:before="0" w:beforeAutospacing="0" w:after="0" w:afterAutospacing="0"/>
              <w:ind w:left="0" w:right="0"/>
              <w:jc w:val="center"/>
              <w:rPr>
                <w:rFonts w:hint="eastAsia" w:ascii="宋体" w:hAnsi="宋体" w:eastAsia="宋体" w:cs="宋体"/>
                <w:b/>
                <w:sz w:val="24"/>
                <w:lang w:val="en-US" w:eastAsia="zh-CN"/>
              </w:rPr>
            </w:pPr>
            <w:r>
              <w:rPr>
                <w:rFonts w:hint="eastAsia" w:ascii="宋体" w:hAnsi="宋体" w:cs="宋体"/>
                <w:b/>
                <w:sz w:val="24"/>
                <w:lang w:val="en-US" w:eastAsia="zh-CN"/>
              </w:rPr>
              <w:t>合计</w:t>
            </w:r>
          </w:p>
        </w:tc>
      </w:tr>
      <w:tr w14:paraId="15E23359">
        <w:tblPrEx>
          <w:tblCellMar>
            <w:top w:w="0" w:type="dxa"/>
            <w:left w:w="108" w:type="dxa"/>
            <w:bottom w:w="0" w:type="dxa"/>
            <w:right w:w="108" w:type="dxa"/>
          </w:tblCellMar>
        </w:tblPrEx>
        <w:trPr>
          <w:trHeight w:val="982" w:hRule="atLeast"/>
        </w:trPr>
        <w:tc>
          <w:tcPr>
            <w:tcW w:w="737" w:type="dxa"/>
            <w:tcBorders>
              <w:top w:val="nil"/>
              <w:left w:val="single" w:color="auto" w:sz="4" w:space="0"/>
              <w:bottom w:val="single" w:color="auto" w:sz="4" w:space="0"/>
              <w:right w:val="single" w:color="auto" w:sz="4" w:space="0"/>
            </w:tcBorders>
            <w:noWrap/>
            <w:vAlign w:val="center"/>
          </w:tcPr>
          <w:p w14:paraId="5585EEFE">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kern w:val="0"/>
                <w:sz w:val="22"/>
                <w:szCs w:val="22"/>
                <w:lang w:bidi="ar"/>
              </w:rPr>
            </w:pPr>
            <w:r>
              <w:rPr>
                <w:rFonts w:hint="eastAsia" w:ascii="宋体" w:hAnsi="宋体" w:cs="宋体"/>
                <w:kern w:val="0"/>
                <w:sz w:val="22"/>
                <w:szCs w:val="22"/>
                <w:lang w:bidi="ar"/>
              </w:rPr>
              <w:t>1</w:t>
            </w:r>
          </w:p>
        </w:tc>
        <w:tc>
          <w:tcPr>
            <w:tcW w:w="2630" w:type="dxa"/>
            <w:tcBorders>
              <w:top w:val="nil"/>
              <w:left w:val="nil"/>
              <w:bottom w:val="single" w:color="auto" w:sz="4" w:space="0"/>
              <w:right w:val="single" w:color="auto" w:sz="4" w:space="0"/>
            </w:tcBorders>
            <w:noWrap/>
            <w:vAlign w:val="center"/>
          </w:tcPr>
          <w:p w14:paraId="6D4D364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kern w:val="0"/>
                <w:sz w:val="24"/>
              </w:rPr>
            </w:pPr>
            <w:r>
              <w:rPr>
                <w:rFonts w:hint="eastAsia" w:ascii="宋体" w:hAnsi="宋体" w:cs="宋体"/>
                <w:kern w:val="0"/>
                <w:sz w:val="24"/>
              </w:rPr>
              <w:t>交互智能平板一体机</w:t>
            </w:r>
          </w:p>
        </w:tc>
        <w:tc>
          <w:tcPr>
            <w:tcW w:w="1789" w:type="dxa"/>
            <w:tcBorders>
              <w:top w:val="nil"/>
              <w:left w:val="nil"/>
              <w:bottom w:val="single" w:color="auto" w:sz="4" w:space="0"/>
              <w:right w:val="single" w:color="auto" w:sz="4" w:space="0"/>
            </w:tcBorders>
            <w:noWrap/>
            <w:vAlign w:val="center"/>
          </w:tcPr>
          <w:p w14:paraId="5AC23894">
            <w:pPr>
              <w:pStyle w:val="5"/>
              <w:keepNext w:val="0"/>
              <w:keepLines w:val="0"/>
              <w:suppressLineNumbers w:val="0"/>
              <w:spacing w:before="0" w:beforeAutospacing="0" w:afterAutospacing="0" w:line="360" w:lineRule="auto"/>
              <w:ind w:left="0" w:right="0"/>
              <w:jc w:val="center"/>
              <w:rPr>
                <w:rFonts w:hint="default" w:ascii="Times New Roman" w:hAnsi="Times New Roman"/>
              </w:rPr>
            </w:pPr>
            <w:r>
              <w:rPr>
                <w:rFonts w:hint="eastAsia" w:ascii="宋体" w:hAnsi="宋体" w:cs="宋体"/>
                <w:sz w:val="24"/>
              </w:rPr>
              <w:t>详见附件</w:t>
            </w:r>
          </w:p>
        </w:tc>
        <w:tc>
          <w:tcPr>
            <w:tcW w:w="956" w:type="dxa"/>
            <w:tcBorders>
              <w:top w:val="nil"/>
              <w:left w:val="nil"/>
              <w:bottom w:val="single" w:color="auto" w:sz="4" w:space="0"/>
              <w:right w:val="single" w:color="auto" w:sz="4" w:space="0"/>
            </w:tcBorders>
            <w:noWrap/>
            <w:vAlign w:val="center"/>
          </w:tcPr>
          <w:p w14:paraId="2E0B6044">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kern w:val="0"/>
                <w:sz w:val="24"/>
              </w:rPr>
            </w:pPr>
            <w:r>
              <w:rPr>
                <w:rFonts w:hint="eastAsia" w:ascii="宋体" w:hAnsi="宋体" w:cs="宋体"/>
                <w:kern w:val="0"/>
                <w:sz w:val="24"/>
              </w:rPr>
              <w:t>1</w:t>
            </w:r>
          </w:p>
        </w:tc>
        <w:tc>
          <w:tcPr>
            <w:tcW w:w="1020" w:type="dxa"/>
            <w:tcBorders>
              <w:top w:val="nil"/>
              <w:left w:val="nil"/>
              <w:bottom w:val="single" w:color="auto" w:sz="4" w:space="0"/>
              <w:right w:val="single" w:color="auto" w:sz="4" w:space="0"/>
            </w:tcBorders>
            <w:noWrap/>
            <w:vAlign w:val="center"/>
          </w:tcPr>
          <w:p w14:paraId="2F691438">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kern w:val="0"/>
                <w:sz w:val="24"/>
              </w:rPr>
            </w:pPr>
            <w:r>
              <w:rPr>
                <w:rFonts w:hint="eastAsia" w:ascii="宋体" w:hAnsi="宋体" w:cs="宋体"/>
                <w:kern w:val="0"/>
                <w:sz w:val="24"/>
              </w:rPr>
              <w:t>台</w:t>
            </w:r>
          </w:p>
        </w:tc>
        <w:tc>
          <w:tcPr>
            <w:tcW w:w="1380" w:type="dxa"/>
            <w:tcBorders>
              <w:top w:val="nil"/>
              <w:left w:val="nil"/>
              <w:bottom w:val="single" w:color="auto" w:sz="4" w:space="0"/>
              <w:right w:val="single" w:color="auto" w:sz="4" w:space="0"/>
            </w:tcBorders>
            <w:noWrap/>
            <w:vAlign w:val="center"/>
          </w:tcPr>
          <w:p w14:paraId="46FA25CF">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0"/>
                <w:sz w:val="24"/>
                <w:lang w:val="en-US" w:eastAsia="zh-CN"/>
              </w:rPr>
            </w:pPr>
          </w:p>
        </w:tc>
        <w:tc>
          <w:tcPr>
            <w:tcW w:w="1350" w:type="dxa"/>
            <w:tcBorders>
              <w:top w:val="nil"/>
              <w:left w:val="nil"/>
              <w:bottom w:val="single" w:color="auto" w:sz="4" w:space="0"/>
              <w:right w:val="single" w:color="auto" w:sz="4" w:space="0"/>
            </w:tcBorders>
            <w:noWrap/>
            <w:vAlign w:val="center"/>
          </w:tcPr>
          <w:p w14:paraId="4A13303D">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0"/>
                <w:sz w:val="24"/>
                <w:lang w:val="en-US" w:eastAsia="zh-CN"/>
              </w:rPr>
            </w:pPr>
          </w:p>
        </w:tc>
      </w:tr>
      <w:tr w14:paraId="6BA85798">
        <w:tblPrEx>
          <w:tblCellMar>
            <w:top w:w="0" w:type="dxa"/>
            <w:left w:w="108" w:type="dxa"/>
            <w:bottom w:w="0" w:type="dxa"/>
            <w:right w:w="108" w:type="dxa"/>
          </w:tblCellMar>
        </w:tblPrEx>
        <w:trPr>
          <w:trHeight w:val="982" w:hRule="atLeast"/>
        </w:trPr>
        <w:tc>
          <w:tcPr>
            <w:tcW w:w="737" w:type="dxa"/>
            <w:tcBorders>
              <w:top w:val="nil"/>
              <w:left w:val="single" w:color="auto" w:sz="4" w:space="0"/>
              <w:bottom w:val="single" w:color="auto" w:sz="4" w:space="0"/>
              <w:right w:val="single" w:color="auto" w:sz="4" w:space="0"/>
            </w:tcBorders>
            <w:noWrap/>
            <w:vAlign w:val="center"/>
          </w:tcPr>
          <w:p w14:paraId="3A5412A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2</w:t>
            </w:r>
          </w:p>
        </w:tc>
        <w:tc>
          <w:tcPr>
            <w:tcW w:w="2630" w:type="dxa"/>
            <w:tcBorders>
              <w:top w:val="nil"/>
              <w:left w:val="nil"/>
              <w:bottom w:val="single" w:color="auto" w:sz="4" w:space="0"/>
              <w:right w:val="single" w:color="auto" w:sz="4" w:space="0"/>
            </w:tcBorders>
            <w:noWrap/>
            <w:vAlign w:val="center"/>
          </w:tcPr>
          <w:p w14:paraId="763B57A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kern w:val="0"/>
                <w:sz w:val="24"/>
              </w:rPr>
            </w:pPr>
            <w:r>
              <w:rPr>
                <w:rFonts w:hint="eastAsia" w:ascii="宋体" w:hAnsi="宋体" w:cs="宋体"/>
                <w:kern w:val="0"/>
                <w:sz w:val="24"/>
              </w:rPr>
              <w:t>立柜式空调</w:t>
            </w:r>
          </w:p>
        </w:tc>
        <w:tc>
          <w:tcPr>
            <w:tcW w:w="1789" w:type="dxa"/>
            <w:tcBorders>
              <w:top w:val="nil"/>
              <w:left w:val="nil"/>
              <w:bottom w:val="single" w:color="auto" w:sz="4" w:space="0"/>
              <w:right w:val="single" w:color="auto" w:sz="4" w:space="0"/>
            </w:tcBorders>
            <w:noWrap/>
            <w:vAlign w:val="center"/>
          </w:tcPr>
          <w:p w14:paraId="171DE330">
            <w:pPr>
              <w:pStyle w:val="5"/>
              <w:keepNext w:val="0"/>
              <w:keepLines w:val="0"/>
              <w:suppressLineNumbers w:val="0"/>
              <w:spacing w:before="0" w:beforeAutospacing="0" w:afterAutospacing="0" w:line="360" w:lineRule="auto"/>
              <w:ind w:left="0" w:right="0"/>
              <w:jc w:val="center"/>
              <w:rPr>
                <w:rFonts w:hint="eastAsia" w:ascii="宋体" w:hAnsi="宋体" w:cs="宋体"/>
                <w:sz w:val="24"/>
              </w:rPr>
            </w:pPr>
            <w:r>
              <w:rPr>
                <w:rFonts w:hint="eastAsia" w:ascii="宋体" w:hAnsi="宋体" w:cs="宋体"/>
                <w:sz w:val="24"/>
              </w:rPr>
              <w:t>详见附件</w:t>
            </w:r>
          </w:p>
        </w:tc>
        <w:tc>
          <w:tcPr>
            <w:tcW w:w="956" w:type="dxa"/>
            <w:tcBorders>
              <w:top w:val="nil"/>
              <w:left w:val="nil"/>
              <w:bottom w:val="single" w:color="auto" w:sz="4" w:space="0"/>
              <w:right w:val="single" w:color="auto" w:sz="4" w:space="0"/>
            </w:tcBorders>
            <w:noWrap/>
            <w:vAlign w:val="center"/>
          </w:tcPr>
          <w:p w14:paraId="1789A0E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3</w:t>
            </w:r>
          </w:p>
        </w:tc>
        <w:tc>
          <w:tcPr>
            <w:tcW w:w="1020" w:type="dxa"/>
            <w:tcBorders>
              <w:top w:val="nil"/>
              <w:left w:val="nil"/>
              <w:bottom w:val="single" w:color="auto" w:sz="4" w:space="0"/>
              <w:right w:val="single" w:color="auto" w:sz="4" w:space="0"/>
            </w:tcBorders>
            <w:noWrap/>
            <w:vAlign w:val="center"/>
          </w:tcPr>
          <w:p w14:paraId="7B2452E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台</w:t>
            </w:r>
          </w:p>
        </w:tc>
        <w:tc>
          <w:tcPr>
            <w:tcW w:w="1380" w:type="dxa"/>
            <w:tcBorders>
              <w:top w:val="nil"/>
              <w:left w:val="nil"/>
              <w:bottom w:val="single" w:color="auto" w:sz="4" w:space="0"/>
              <w:right w:val="single" w:color="auto" w:sz="4" w:space="0"/>
            </w:tcBorders>
            <w:noWrap/>
            <w:vAlign w:val="center"/>
          </w:tcPr>
          <w:p w14:paraId="5FADCBC1">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0"/>
                <w:sz w:val="24"/>
                <w:lang w:val="en-US" w:eastAsia="zh-CN"/>
              </w:rPr>
            </w:pPr>
          </w:p>
        </w:tc>
        <w:tc>
          <w:tcPr>
            <w:tcW w:w="1350" w:type="dxa"/>
            <w:tcBorders>
              <w:top w:val="nil"/>
              <w:left w:val="nil"/>
              <w:bottom w:val="single" w:color="auto" w:sz="4" w:space="0"/>
              <w:right w:val="single" w:color="auto" w:sz="4" w:space="0"/>
            </w:tcBorders>
            <w:noWrap/>
            <w:vAlign w:val="center"/>
          </w:tcPr>
          <w:p w14:paraId="5D8EBAB6">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0"/>
                <w:sz w:val="24"/>
                <w:lang w:val="en-US" w:eastAsia="zh-CN"/>
              </w:rPr>
            </w:pPr>
          </w:p>
        </w:tc>
      </w:tr>
      <w:tr w14:paraId="107B83CF">
        <w:tblPrEx>
          <w:tblCellMar>
            <w:top w:w="0" w:type="dxa"/>
            <w:left w:w="108" w:type="dxa"/>
            <w:bottom w:w="0" w:type="dxa"/>
            <w:right w:w="108" w:type="dxa"/>
          </w:tblCellMar>
        </w:tblPrEx>
        <w:trPr>
          <w:trHeight w:val="897" w:hRule="atLeast"/>
        </w:trPr>
        <w:tc>
          <w:tcPr>
            <w:tcW w:w="9862" w:type="dxa"/>
            <w:gridSpan w:val="7"/>
            <w:tcBorders>
              <w:top w:val="single" w:color="auto" w:sz="4" w:space="0"/>
              <w:left w:val="single" w:color="auto" w:sz="4" w:space="0"/>
              <w:bottom w:val="single" w:color="auto" w:sz="4" w:space="0"/>
              <w:right w:val="single" w:color="auto" w:sz="4" w:space="0"/>
            </w:tcBorders>
            <w:noWrap/>
            <w:vAlign w:val="center"/>
          </w:tcPr>
          <w:p w14:paraId="4A056DDC">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lang w:val="en-US" w:eastAsia="zh-CN"/>
              </w:rPr>
            </w:pPr>
            <w:r>
              <w:rPr>
                <w:rFonts w:hint="eastAsia" w:ascii="宋体" w:hAnsi="宋体" w:eastAsia="宋体" w:cs="宋体"/>
                <w:b/>
                <w:bCs/>
                <w:color w:val="auto"/>
                <w:kern w:val="0"/>
                <w:sz w:val="24"/>
                <w:szCs w:val="24"/>
                <w:highlight w:val="none"/>
                <w:lang w:val="en-US" w:eastAsia="zh-CN"/>
              </w:rPr>
              <w:t>人民币合计金额（大写）：                                元整（¥             ）</w:t>
            </w:r>
          </w:p>
        </w:tc>
      </w:tr>
      <w:tr w14:paraId="6123AA6B">
        <w:tblPrEx>
          <w:tblCellMar>
            <w:top w:w="0" w:type="dxa"/>
            <w:left w:w="108" w:type="dxa"/>
            <w:bottom w:w="0" w:type="dxa"/>
            <w:right w:w="108" w:type="dxa"/>
          </w:tblCellMar>
        </w:tblPrEx>
        <w:trPr>
          <w:trHeight w:val="1282" w:hRule="atLeast"/>
        </w:trPr>
        <w:tc>
          <w:tcPr>
            <w:tcW w:w="9862" w:type="dxa"/>
            <w:gridSpan w:val="7"/>
            <w:tcBorders>
              <w:top w:val="single" w:color="auto" w:sz="4" w:space="0"/>
              <w:left w:val="single" w:color="auto" w:sz="4" w:space="0"/>
              <w:bottom w:val="single" w:color="auto" w:sz="4" w:space="0"/>
              <w:right w:val="single" w:color="auto" w:sz="4" w:space="0"/>
            </w:tcBorders>
            <w:noWrap/>
            <w:vAlign w:val="center"/>
          </w:tcPr>
          <w:p w14:paraId="43AE3280">
            <w:pPr>
              <w:pStyle w:val="5"/>
              <w:keepNext w:val="0"/>
              <w:keepLines w:val="0"/>
              <w:suppressLineNumbers w:val="0"/>
              <w:spacing w:before="30" w:beforeAutospacing="0" w:afterAutospacing="0"/>
              <w:ind w:left="0" w:right="251"/>
              <w:rPr>
                <w:rFonts w:hint="default" w:ascii="宋体" w:hAnsi="宋体" w:cs="宋体"/>
                <w:kern w:val="0"/>
                <w:sz w:val="24"/>
                <w:lang w:val="en-US" w:eastAsia="zh-CN"/>
              </w:rPr>
            </w:pPr>
            <w:r>
              <w:rPr>
                <w:rFonts w:hint="eastAsia" w:ascii="宋体" w:hAnsi="宋体" w:cs="宋体"/>
                <w:spacing w:val="5"/>
                <w:sz w:val="24"/>
                <w:lang w:val="en-US" w:eastAsia="zh-CN"/>
              </w:rPr>
              <w:t>注：</w:t>
            </w:r>
            <w:r>
              <w:rPr>
                <w:rFonts w:hint="eastAsia" w:ascii="宋体" w:hAnsi="宋体" w:cs="宋体"/>
                <w:spacing w:val="5"/>
                <w:sz w:val="24"/>
              </w:rPr>
              <w:t>总</w:t>
            </w:r>
            <w:r>
              <w:rPr>
                <w:rFonts w:hint="eastAsia" w:ascii="宋体" w:hAnsi="宋体" w:cs="宋体"/>
                <w:spacing w:val="5"/>
                <w:sz w:val="24"/>
                <w:lang w:val="en-US" w:eastAsia="zh-CN"/>
              </w:rPr>
              <w:t>报价</w:t>
            </w:r>
            <w:r>
              <w:rPr>
                <w:rFonts w:hint="eastAsia" w:ascii="宋体" w:hAnsi="宋体" w:cs="宋体"/>
                <w:spacing w:val="5"/>
                <w:sz w:val="24"/>
              </w:rPr>
              <w:t>包含商品到达甲方并能正常使用所</w:t>
            </w:r>
            <w:r>
              <w:rPr>
                <w:rFonts w:hint="eastAsia" w:ascii="宋体" w:hAnsi="宋体" w:cs="宋体"/>
                <w:spacing w:val="4"/>
                <w:sz w:val="24"/>
              </w:rPr>
              <w:t>需的一切费用，包括但不限于商品购置费、包装费、运输费、装卸费、保险费、安装调试费、技术服务</w:t>
            </w:r>
            <w:r>
              <w:rPr>
                <w:rFonts w:hint="eastAsia" w:ascii="宋体" w:hAnsi="宋体" w:cs="宋体"/>
                <w:spacing w:val="2"/>
                <w:sz w:val="24"/>
              </w:rPr>
              <w:t>费、培训费以及保修费、税费等。</w:t>
            </w:r>
            <w:bookmarkStart w:id="16" w:name="_GoBack"/>
            <w:bookmarkEnd w:id="16"/>
          </w:p>
        </w:tc>
      </w:tr>
    </w:tbl>
    <w:p w14:paraId="43C001D9">
      <w:pPr>
        <w:pStyle w:val="5"/>
        <w:rPr>
          <w:rFonts w:hint="eastAsia"/>
        </w:rPr>
      </w:pPr>
    </w:p>
    <w:p w14:paraId="3482003A">
      <w:pPr>
        <w:pStyle w:val="5"/>
        <w:rPr>
          <w:rFonts w:hint="eastAsia"/>
        </w:rPr>
      </w:pPr>
    </w:p>
    <w:sectPr>
      <w:headerReference r:id="rId5" w:type="default"/>
      <w:footerReference r:id="rId6" w:type="default"/>
      <w:pgSz w:w="11906" w:h="16838"/>
      <w:pgMar w:top="1247" w:right="1134" w:bottom="124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nePrinter">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3989">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5</w:t>
    </w:r>
    <w:r>
      <w:fldChar w:fldCharType="end"/>
    </w:r>
  </w:p>
  <w:p w14:paraId="2F61310E">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40B83">
    <w:pPr>
      <w:pStyle w:val="11"/>
      <w:framePr w:wrap="around" w:vAnchor="text" w:hAnchor="margin" w:xAlign="center" w:y="1"/>
      <w:rPr>
        <w:rStyle w:val="20"/>
      </w:rPr>
    </w:pPr>
    <w:r>
      <w:fldChar w:fldCharType="begin"/>
    </w:r>
    <w:r>
      <w:rPr>
        <w:rStyle w:val="20"/>
      </w:rPr>
      <w:instrText xml:space="preserve">PAGE  </w:instrText>
    </w:r>
    <w:r>
      <w:fldChar w:fldCharType="end"/>
    </w:r>
  </w:p>
  <w:p w14:paraId="67CECF42">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53D8A">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7</w:t>
    </w:r>
    <w:r>
      <w:fldChar w:fldCharType="end"/>
    </w:r>
  </w:p>
  <w:p w14:paraId="4C251787">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D914F">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70C75"/>
    <w:multiLevelType w:val="singleLevel"/>
    <w:tmpl w:val="B7270C75"/>
    <w:lvl w:ilvl="0" w:tentative="0">
      <w:start w:val="1"/>
      <w:numFmt w:val="chineseCounting"/>
      <w:suff w:val="nothing"/>
      <w:lvlText w:val="%1、"/>
      <w:lvlJc w:val="left"/>
      <w:rPr>
        <w:rFonts w:hint="eastAsia"/>
      </w:rPr>
    </w:lvl>
  </w:abstractNum>
  <w:abstractNum w:abstractNumId="1">
    <w:nsid w:val="06731616"/>
    <w:multiLevelType w:val="singleLevel"/>
    <w:tmpl w:val="0673161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MTMxZjViMWNjNzYzYWFkMTdiMDIxZTkzMDdjMGEifQ=="/>
  </w:docVars>
  <w:rsids>
    <w:rsidRoot w:val="00172A27"/>
    <w:rsid w:val="00002019"/>
    <w:rsid w:val="000069E4"/>
    <w:rsid w:val="00012222"/>
    <w:rsid w:val="000156FE"/>
    <w:rsid w:val="00020B4D"/>
    <w:rsid w:val="00023C17"/>
    <w:rsid w:val="00023DBE"/>
    <w:rsid w:val="000323CC"/>
    <w:rsid w:val="0004422A"/>
    <w:rsid w:val="00052A27"/>
    <w:rsid w:val="00065B50"/>
    <w:rsid w:val="00074056"/>
    <w:rsid w:val="0009016F"/>
    <w:rsid w:val="000A219C"/>
    <w:rsid w:val="000B5CF2"/>
    <w:rsid w:val="000B76E6"/>
    <w:rsid w:val="000C5DB8"/>
    <w:rsid w:val="000C6070"/>
    <w:rsid w:val="000D0EDA"/>
    <w:rsid w:val="000D7D84"/>
    <w:rsid w:val="000E2D82"/>
    <w:rsid w:val="000E4739"/>
    <w:rsid w:val="000F165E"/>
    <w:rsid w:val="00100697"/>
    <w:rsid w:val="00101ACE"/>
    <w:rsid w:val="00103D4B"/>
    <w:rsid w:val="001215A2"/>
    <w:rsid w:val="00144345"/>
    <w:rsid w:val="00150527"/>
    <w:rsid w:val="00154683"/>
    <w:rsid w:val="001647BB"/>
    <w:rsid w:val="00172832"/>
    <w:rsid w:val="001760B8"/>
    <w:rsid w:val="0018046A"/>
    <w:rsid w:val="00183A21"/>
    <w:rsid w:val="0019168F"/>
    <w:rsid w:val="001B0929"/>
    <w:rsid w:val="001B28D9"/>
    <w:rsid w:val="001D0D70"/>
    <w:rsid w:val="001D0EF6"/>
    <w:rsid w:val="002020C4"/>
    <w:rsid w:val="00202294"/>
    <w:rsid w:val="00214ACF"/>
    <w:rsid w:val="0021789B"/>
    <w:rsid w:val="0023441E"/>
    <w:rsid w:val="00241349"/>
    <w:rsid w:val="00244056"/>
    <w:rsid w:val="00254751"/>
    <w:rsid w:val="00255B1C"/>
    <w:rsid w:val="0026443F"/>
    <w:rsid w:val="002653F1"/>
    <w:rsid w:val="00273743"/>
    <w:rsid w:val="002A10C9"/>
    <w:rsid w:val="002A335E"/>
    <w:rsid w:val="002B3486"/>
    <w:rsid w:val="002B7D8E"/>
    <w:rsid w:val="002C102D"/>
    <w:rsid w:val="002C4FAC"/>
    <w:rsid w:val="002C5858"/>
    <w:rsid w:val="002D1C4E"/>
    <w:rsid w:val="002E2833"/>
    <w:rsid w:val="002E2956"/>
    <w:rsid w:val="002F1F44"/>
    <w:rsid w:val="002F2DDC"/>
    <w:rsid w:val="0030617C"/>
    <w:rsid w:val="003063A5"/>
    <w:rsid w:val="00315ED2"/>
    <w:rsid w:val="00317524"/>
    <w:rsid w:val="00320328"/>
    <w:rsid w:val="003204A6"/>
    <w:rsid w:val="003267AF"/>
    <w:rsid w:val="00332003"/>
    <w:rsid w:val="0033241B"/>
    <w:rsid w:val="003364BF"/>
    <w:rsid w:val="003540C4"/>
    <w:rsid w:val="00360E2A"/>
    <w:rsid w:val="00371E5E"/>
    <w:rsid w:val="00373E67"/>
    <w:rsid w:val="00376271"/>
    <w:rsid w:val="00376C0C"/>
    <w:rsid w:val="00382A56"/>
    <w:rsid w:val="003900B9"/>
    <w:rsid w:val="00391C9E"/>
    <w:rsid w:val="003965D8"/>
    <w:rsid w:val="003B3C65"/>
    <w:rsid w:val="003B6D58"/>
    <w:rsid w:val="003C6AB5"/>
    <w:rsid w:val="003D424D"/>
    <w:rsid w:val="003D499D"/>
    <w:rsid w:val="003E52B4"/>
    <w:rsid w:val="003E55C1"/>
    <w:rsid w:val="003E7C5E"/>
    <w:rsid w:val="003E7E8A"/>
    <w:rsid w:val="004026F7"/>
    <w:rsid w:val="0040700B"/>
    <w:rsid w:val="00413273"/>
    <w:rsid w:val="00415944"/>
    <w:rsid w:val="00415DD8"/>
    <w:rsid w:val="00416F2B"/>
    <w:rsid w:val="004257C5"/>
    <w:rsid w:val="0042660E"/>
    <w:rsid w:val="00426BAB"/>
    <w:rsid w:val="00427243"/>
    <w:rsid w:val="004335B9"/>
    <w:rsid w:val="00436D01"/>
    <w:rsid w:val="00444891"/>
    <w:rsid w:val="00444F44"/>
    <w:rsid w:val="004507AC"/>
    <w:rsid w:val="00457838"/>
    <w:rsid w:val="00457ED4"/>
    <w:rsid w:val="00460A9F"/>
    <w:rsid w:val="00471161"/>
    <w:rsid w:val="004713E6"/>
    <w:rsid w:val="004743D7"/>
    <w:rsid w:val="00477569"/>
    <w:rsid w:val="00482AEE"/>
    <w:rsid w:val="004A596E"/>
    <w:rsid w:val="004C4D39"/>
    <w:rsid w:val="004E5EA3"/>
    <w:rsid w:val="004F3240"/>
    <w:rsid w:val="00511113"/>
    <w:rsid w:val="005149AC"/>
    <w:rsid w:val="00515DC7"/>
    <w:rsid w:val="00536E5F"/>
    <w:rsid w:val="00543B2B"/>
    <w:rsid w:val="00557C07"/>
    <w:rsid w:val="00567360"/>
    <w:rsid w:val="00571A33"/>
    <w:rsid w:val="00572235"/>
    <w:rsid w:val="00573559"/>
    <w:rsid w:val="005758BA"/>
    <w:rsid w:val="0058008A"/>
    <w:rsid w:val="005843A2"/>
    <w:rsid w:val="005957A2"/>
    <w:rsid w:val="005972FD"/>
    <w:rsid w:val="005B6100"/>
    <w:rsid w:val="005C4006"/>
    <w:rsid w:val="005C5A91"/>
    <w:rsid w:val="005C6763"/>
    <w:rsid w:val="005D14E4"/>
    <w:rsid w:val="005D166D"/>
    <w:rsid w:val="005D2323"/>
    <w:rsid w:val="005E211C"/>
    <w:rsid w:val="005F4A9C"/>
    <w:rsid w:val="00607861"/>
    <w:rsid w:val="00610A62"/>
    <w:rsid w:val="00627BE0"/>
    <w:rsid w:val="00630AC5"/>
    <w:rsid w:val="00631A1E"/>
    <w:rsid w:val="006355AC"/>
    <w:rsid w:val="00640A77"/>
    <w:rsid w:val="00642AF4"/>
    <w:rsid w:val="006561DC"/>
    <w:rsid w:val="00663400"/>
    <w:rsid w:val="0066631E"/>
    <w:rsid w:val="00673384"/>
    <w:rsid w:val="0067581B"/>
    <w:rsid w:val="0067611A"/>
    <w:rsid w:val="00696A17"/>
    <w:rsid w:val="006A3CFA"/>
    <w:rsid w:val="006A5EC2"/>
    <w:rsid w:val="006B16F7"/>
    <w:rsid w:val="006B2D4C"/>
    <w:rsid w:val="006B5F5E"/>
    <w:rsid w:val="006B77CF"/>
    <w:rsid w:val="006B7D0B"/>
    <w:rsid w:val="006C03A4"/>
    <w:rsid w:val="006D475E"/>
    <w:rsid w:val="006E1148"/>
    <w:rsid w:val="006E66AA"/>
    <w:rsid w:val="006F05C0"/>
    <w:rsid w:val="006F3D5F"/>
    <w:rsid w:val="006F4615"/>
    <w:rsid w:val="006F79C1"/>
    <w:rsid w:val="00707A54"/>
    <w:rsid w:val="00711B49"/>
    <w:rsid w:val="00711CF8"/>
    <w:rsid w:val="00716B7B"/>
    <w:rsid w:val="007230B1"/>
    <w:rsid w:val="00725F57"/>
    <w:rsid w:val="00730FE2"/>
    <w:rsid w:val="007334E1"/>
    <w:rsid w:val="00741926"/>
    <w:rsid w:val="00753002"/>
    <w:rsid w:val="007531FE"/>
    <w:rsid w:val="007539F5"/>
    <w:rsid w:val="007608F4"/>
    <w:rsid w:val="00776CAA"/>
    <w:rsid w:val="0078123F"/>
    <w:rsid w:val="00782321"/>
    <w:rsid w:val="00787E51"/>
    <w:rsid w:val="007A56ED"/>
    <w:rsid w:val="007B2C5E"/>
    <w:rsid w:val="007B3C7E"/>
    <w:rsid w:val="007C280A"/>
    <w:rsid w:val="007C5B28"/>
    <w:rsid w:val="007D12E6"/>
    <w:rsid w:val="007D71E4"/>
    <w:rsid w:val="007F1523"/>
    <w:rsid w:val="007F2025"/>
    <w:rsid w:val="007F5C57"/>
    <w:rsid w:val="008070C4"/>
    <w:rsid w:val="0082156F"/>
    <w:rsid w:val="00830F33"/>
    <w:rsid w:val="008341AC"/>
    <w:rsid w:val="00835EE6"/>
    <w:rsid w:val="0084519E"/>
    <w:rsid w:val="00852385"/>
    <w:rsid w:val="00853AFB"/>
    <w:rsid w:val="0086096B"/>
    <w:rsid w:val="00860F61"/>
    <w:rsid w:val="00874E19"/>
    <w:rsid w:val="00880FED"/>
    <w:rsid w:val="008930DD"/>
    <w:rsid w:val="008950CB"/>
    <w:rsid w:val="008A1DB5"/>
    <w:rsid w:val="008C06B6"/>
    <w:rsid w:val="008D542F"/>
    <w:rsid w:val="008D5A9F"/>
    <w:rsid w:val="008F2020"/>
    <w:rsid w:val="0092135B"/>
    <w:rsid w:val="009415A0"/>
    <w:rsid w:val="00975B10"/>
    <w:rsid w:val="00976F55"/>
    <w:rsid w:val="009833BF"/>
    <w:rsid w:val="00984F80"/>
    <w:rsid w:val="00993821"/>
    <w:rsid w:val="0099575B"/>
    <w:rsid w:val="009A5C69"/>
    <w:rsid w:val="009C14D1"/>
    <w:rsid w:val="009C3662"/>
    <w:rsid w:val="00A00F5D"/>
    <w:rsid w:val="00A1022D"/>
    <w:rsid w:val="00A11313"/>
    <w:rsid w:val="00A21BF2"/>
    <w:rsid w:val="00A32A1E"/>
    <w:rsid w:val="00A33798"/>
    <w:rsid w:val="00A4391D"/>
    <w:rsid w:val="00A4700F"/>
    <w:rsid w:val="00A52BE8"/>
    <w:rsid w:val="00A53958"/>
    <w:rsid w:val="00A5402B"/>
    <w:rsid w:val="00A56582"/>
    <w:rsid w:val="00A62750"/>
    <w:rsid w:val="00A7379D"/>
    <w:rsid w:val="00A75DBD"/>
    <w:rsid w:val="00A90594"/>
    <w:rsid w:val="00AA0B81"/>
    <w:rsid w:val="00AA5A4D"/>
    <w:rsid w:val="00AB1422"/>
    <w:rsid w:val="00AB1DD7"/>
    <w:rsid w:val="00AC4229"/>
    <w:rsid w:val="00AD5FE2"/>
    <w:rsid w:val="00AE4EEB"/>
    <w:rsid w:val="00AF2B84"/>
    <w:rsid w:val="00B015BC"/>
    <w:rsid w:val="00B07347"/>
    <w:rsid w:val="00B1546E"/>
    <w:rsid w:val="00B15FC5"/>
    <w:rsid w:val="00B23DAC"/>
    <w:rsid w:val="00B25BDA"/>
    <w:rsid w:val="00B32167"/>
    <w:rsid w:val="00B41286"/>
    <w:rsid w:val="00B417A8"/>
    <w:rsid w:val="00B56128"/>
    <w:rsid w:val="00B569E0"/>
    <w:rsid w:val="00B56F46"/>
    <w:rsid w:val="00B744D2"/>
    <w:rsid w:val="00B97790"/>
    <w:rsid w:val="00BA4865"/>
    <w:rsid w:val="00BB48E7"/>
    <w:rsid w:val="00BB79D1"/>
    <w:rsid w:val="00BB7E02"/>
    <w:rsid w:val="00BC3481"/>
    <w:rsid w:val="00BD1354"/>
    <w:rsid w:val="00BD251F"/>
    <w:rsid w:val="00BD46A0"/>
    <w:rsid w:val="00BE31DD"/>
    <w:rsid w:val="00BE56BC"/>
    <w:rsid w:val="00BE7F56"/>
    <w:rsid w:val="00BF0BF6"/>
    <w:rsid w:val="00C10A88"/>
    <w:rsid w:val="00C20553"/>
    <w:rsid w:val="00C237C6"/>
    <w:rsid w:val="00C300C0"/>
    <w:rsid w:val="00C32230"/>
    <w:rsid w:val="00C32E59"/>
    <w:rsid w:val="00C378F2"/>
    <w:rsid w:val="00C404E8"/>
    <w:rsid w:val="00C52DDB"/>
    <w:rsid w:val="00C56AD9"/>
    <w:rsid w:val="00C7114D"/>
    <w:rsid w:val="00C717F0"/>
    <w:rsid w:val="00C85CE1"/>
    <w:rsid w:val="00C947FB"/>
    <w:rsid w:val="00CA076F"/>
    <w:rsid w:val="00CA189F"/>
    <w:rsid w:val="00CA1F70"/>
    <w:rsid w:val="00CA39C6"/>
    <w:rsid w:val="00CA71E8"/>
    <w:rsid w:val="00CE1196"/>
    <w:rsid w:val="00CE3776"/>
    <w:rsid w:val="00CE5142"/>
    <w:rsid w:val="00CE6FC9"/>
    <w:rsid w:val="00CE789C"/>
    <w:rsid w:val="00D068EB"/>
    <w:rsid w:val="00D07CEF"/>
    <w:rsid w:val="00D1337D"/>
    <w:rsid w:val="00D23FFF"/>
    <w:rsid w:val="00D31F48"/>
    <w:rsid w:val="00D3429F"/>
    <w:rsid w:val="00D514CC"/>
    <w:rsid w:val="00D51619"/>
    <w:rsid w:val="00D55CE6"/>
    <w:rsid w:val="00D60222"/>
    <w:rsid w:val="00D607DF"/>
    <w:rsid w:val="00D60F32"/>
    <w:rsid w:val="00D64B45"/>
    <w:rsid w:val="00D71461"/>
    <w:rsid w:val="00D757BA"/>
    <w:rsid w:val="00D81D3C"/>
    <w:rsid w:val="00D852F1"/>
    <w:rsid w:val="00D94B07"/>
    <w:rsid w:val="00D972C9"/>
    <w:rsid w:val="00DA1FB5"/>
    <w:rsid w:val="00DA63B5"/>
    <w:rsid w:val="00DB33AC"/>
    <w:rsid w:val="00DB7741"/>
    <w:rsid w:val="00DB783D"/>
    <w:rsid w:val="00DC567E"/>
    <w:rsid w:val="00DC768F"/>
    <w:rsid w:val="00DD0FBE"/>
    <w:rsid w:val="00DD1772"/>
    <w:rsid w:val="00DE3016"/>
    <w:rsid w:val="00DE3289"/>
    <w:rsid w:val="00DE581B"/>
    <w:rsid w:val="00DE5AF9"/>
    <w:rsid w:val="00DF21BE"/>
    <w:rsid w:val="00E21135"/>
    <w:rsid w:val="00E21136"/>
    <w:rsid w:val="00E2220B"/>
    <w:rsid w:val="00E23C32"/>
    <w:rsid w:val="00E2495D"/>
    <w:rsid w:val="00E3060D"/>
    <w:rsid w:val="00E31990"/>
    <w:rsid w:val="00E319FD"/>
    <w:rsid w:val="00E31E06"/>
    <w:rsid w:val="00E35AD5"/>
    <w:rsid w:val="00E378C6"/>
    <w:rsid w:val="00E404D3"/>
    <w:rsid w:val="00E50F87"/>
    <w:rsid w:val="00E55E82"/>
    <w:rsid w:val="00E57E94"/>
    <w:rsid w:val="00E57F62"/>
    <w:rsid w:val="00E701BF"/>
    <w:rsid w:val="00E85759"/>
    <w:rsid w:val="00E9142B"/>
    <w:rsid w:val="00E974F6"/>
    <w:rsid w:val="00EA20C6"/>
    <w:rsid w:val="00EA2796"/>
    <w:rsid w:val="00EA7EAD"/>
    <w:rsid w:val="00EB0DB1"/>
    <w:rsid w:val="00ED2BF6"/>
    <w:rsid w:val="00ED680F"/>
    <w:rsid w:val="00EE4D0D"/>
    <w:rsid w:val="00EE4F18"/>
    <w:rsid w:val="00EE681F"/>
    <w:rsid w:val="00EF4388"/>
    <w:rsid w:val="00F045F7"/>
    <w:rsid w:val="00F1521B"/>
    <w:rsid w:val="00F16685"/>
    <w:rsid w:val="00F30B1C"/>
    <w:rsid w:val="00F35C7D"/>
    <w:rsid w:val="00F4531F"/>
    <w:rsid w:val="00F52793"/>
    <w:rsid w:val="00F61DCA"/>
    <w:rsid w:val="00F6414D"/>
    <w:rsid w:val="00F644A0"/>
    <w:rsid w:val="00F646F3"/>
    <w:rsid w:val="00F71217"/>
    <w:rsid w:val="00F764AD"/>
    <w:rsid w:val="00F92B9B"/>
    <w:rsid w:val="00F9491F"/>
    <w:rsid w:val="00F95F8D"/>
    <w:rsid w:val="00FA0927"/>
    <w:rsid w:val="00FA1C0C"/>
    <w:rsid w:val="00FC0C20"/>
    <w:rsid w:val="00FC71B0"/>
    <w:rsid w:val="00FD4563"/>
    <w:rsid w:val="00FD7A80"/>
    <w:rsid w:val="00FE67F0"/>
    <w:rsid w:val="00FF40E4"/>
    <w:rsid w:val="00FF4C01"/>
    <w:rsid w:val="01EF043C"/>
    <w:rsid w:val="02004666"/>
    <w:rsid w:val="02C50958"/>
    <w:rsid w:val="034844C9"/>
    <w:rsid w:val="040F607C"/>
    <w:rsid w:val="06427ADE"/>
    <w:rsid w:val="0673692E"/>
    <w:rsid w:val="077566D6"/>
    <w:rsid w:val="07CF155D"/>
    <w:rsid w:val="07D0301F"/>
    <w:rsid w:val="07DA0C1A"/>
    <w:rsid w:val="08031F33"/>
    <w:rsid w:val="09EF451D"/>
    <w:rsid w:val="0AD9712B"/>
    <w:rsid w:val="0D076022"/>
    <w:rsid w:val="0DC70975"/>
    <w:rsid w:val="0E454031"/>
    <w:rsid w:val="0E8D1DEF"/>
    <w:rsid w:val="130B6793"/>
    <w:rsid w:val="132C233E"/>
    <w:rsid w:val="13BB36C2"/>
    <w:rsid w:val="14757C39"/>
    <w:rsid w:val="1A143941"/>
    <w:rsid w:val="1A8F5F2A"/>
    <w:rsid w:val="1ACD2E10"/>
    <w:rsid w:val="1ACF2E1C"/>
    <w:rsid w:val="1AD93753"/>
    <w:rsid w:val="1BC82E20"/>
    <w:rsid w:val="1BD17B4E"/>
    <w:rsid w:val="1C5648D0"/>
    <w:rsid w:val="1D155F88"/>
    <w:rsid w:val="1D5E1C8E"/>
    <w:rsid w:val="1DD17803"/>
    <w:rsid w:val="1E2B303C"/>
    <w:rsid w:val="20DC6D2F"/>
    <w:rsid w:val="20EC28DD"/>
    <w:rsid w:val="2146522D"/>
    <w:rsid w:val="21FF2EC3"/>
    <w:rsid w:val="226F3F88"/>
    <w:rsid w:val="22A91618"/>
    <w:rsid w:val="238803A7"/>
    <w:rsid w:val="23BD2859"/>
    <w:rsid w:val="24C1700A"/>
    <w:rsid w:val="24DE0B87"/>
    <w:rsid w:val="2508499B"/>
    <w:rsid w:val="259C1858"/>
    <w:rsid w:val="26F07FCB"/>
    <w:rsid w:val="27C13545"/>
    <w:rsid w:val="27D75C47"/>
    <w:rsid w:val="291D7B33"/>
    <w:rsid w:val="29930F11"/>
    <w:rsid w:val="2A096883"/>
    <w:rsid w:val="2A175D22"/>
    <w:rsid w:val="2A207CB6"/>
    <w:rsid w:val="2A6D5A35"/>
    <w:rsid w:val="2B2A0880"/>
    <w:rsid w:val="2C3D2F50"/>
    <w:rsid w:val="2CCF34CC"/>
    <w:rsid w:val="2E734E6D"/>
    <w:rsid w:val="2EB865D8"/>
    <w:rsid w:val="2ED55B28"/>
    <w:rsid w:val="308F3CE5"/>
    <w:rsid w:val="30DF5A08"/>
    <w:rsid w:val="312E32CE"/>
    <w:rsid w:val="31745DB0"/>
    <w:rsid w:val="32C13D0C"/>
    <w:rsid w:val="333756F9"/>
    <w:rsid w:val="33996A7B"/>
    <w:rsid w:val="33B64661"/>
    <w:rsid w:val="35727641"/>
    <w:rsid w:val="35AE4D75"/>
    <w:rsid w:val="37AD7642"/>
    <w:rsid w:val="380E65A2"/>
    <w:rsid w:val="38177E75"/>
    <w:rsid w:val="39033296"/>
    <w:rsid w:val="3B803633"/>
    <w:rsid w:val="3D277DCD"/>
    <w:rsid w:val="3D852F6B"/>
    <w:rsid w:val="3E810EE1"/>
    <w:rsid w:val="3F2004D3"/>
    <w:rsid w:val="40631F61"/>
    <w:rsid w:val="40AD1589"/>
    <w:rsid w:val="41983493"/>
    <w:rsid w:val="42470693"/>
    <w:rsid w:val="428E70BA"/>
    <w:rsid w:val="42B24ED5"/>
    <w:rsid w:val="43D67F21"/>
    <w:rsid w:val="44B171D3"/>
    <w:rsid w:val="452272A7"/>
    <w:rsid w:val="4709043D"/>
    <w:rsid w:val="47A31D48"/>
    <w:rsid w:val="481C306C"/>
    <w:rsid w:val="49083F6F"/>
    <w:rsid w:val="4DAB1AD6"/>
    <w:rsid w:val="4F1503EB"/>
    <w:rsid w:val="4F2F6737"/>
    <w:rsid w:val="4F914E79"/>
    <w:rsid w:val="4F9F25CB"/>
    <w:rsid w:val="518510D7"/>
    <w:rsid w:val="51F53C68"/>
    <w:rsid w:val="52EA5606"/>
    <w:rsid w:val="532145E9"/>
    <w:rsid w:val="534F01DF"/>
    <w:rsid w:val="53C52166"/>
    <w:rsid w:val="54A706BC"/>
    <w:rsid w:val="54AB47E7"/>
    <w:rsid w:val="54CF254E"/>
    <w:rsid w:val="550E00B5"/>
    <w:rsid w:val="55195EBF"/>
    <w:rsid w:val="57096BAF"/>
    <w:rsid w:val="5886386C"/>
    <w:rsid w:val="5A10080A"/>
    <w:rsid w:val="5A470E3B"/>
    <w:rsid w:val="5A774BB3"/>
    <w:rsid w:val="5A8B631B"/>
    <w:rsid w:val="5AFE64EE"/>
    <w:rsid w:val="5B4C378D"/>
    <w:rsid w:val="5B6C3C8D"/>
    <w:rsid w:val="5B70610D"/>
    <w:rsid w:val="5D62767F"/>
    <w:rsid w:val="5DF66D9E"/>
    <w:rsid w:val="5F1B7866"/>
    <w:rsid w:val="5FBB4B19"/>
    <w:rsid w:val="613F17D1"/>
    <w:rsid w:val="63221847"/>
    <w:rsid w:val="63E03D91"/>
    <w:rsid w:val="6414588F"/>
    <w:rsid w:val="64E831B8"/>
    <w:rsid w:val="663E12F3"/>
    <w:rsid w:val="66B22C7D"/>
    <w:rsid w:val="67F85ADC"/>
    <w:rsid w:val="68203F4F"/>
    <w:rsid w:val="68460921"/>
    <w:rsid w:val="68B757CC"/>
    <w:rsid w:val="69AC0C58"/>
    <w:rsid w:val="69EA269B"/>
    <w:rsid w:val="6A9F256B"/>
    <w:rsid w:val="6AF405C0"/>
    <w:rsid w:val="6B6F63E1"/>
    <w:rsid w:val="6D1B1593"/>
    <w:rsid w:val="6DE704B1"/>
    <w:rsid w:val="6EB81C75"/>
    <w:rsid w:val="6FDA3C97"/>
    <w:rsid w:val="70E448CA"/>
    <w:rsid w:val="72752B0B"/>
    <w:rsid w:val="731C6D03"/>
    <w:rsid w:val="742C3D60"/>
    <w:rsid w:val="74E46012"/>
    <w:rsid w:val="75E43528"/>
    <w:rsid w:val="76DD4B47"/>
    <w:rsid w:val="77BD3BF7"/>
    <w:rsid w:val="780F6E64"/>
    <w:rsid w:val="79DA536E"/>
    <w:rsid w:val="7A3A5E0C"/>
    <w:rsid w:val="7A945D0D"/>
    <w:rsid w:val="7B79766B"/>
    <w:rsid w:val="7CFE1373"/>
    <w:rsid w:val="7D603C49"/>
    <w:rsid w:val="7EA53419"/>
    <w:rsid w:val="7FAC33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1"/>
    <w:qFormat/>
    <w:uiPriority w:val="0"/>
    <w:pPr>
      <w:keepNext/>
      <w:spacing w:line="500" w:lineRule="exact"/>
      <w:outlineLvl w:val="1"/>
    </w:pPr>
    <w:rPr>
      <w:rFonts w:ascii="仿宋_GB2312" w:eastAsia="仿宋_GB2312"/>
      <w:sz w:val="28"/>
    </w:rPr>
  </w:style>
  <w:style w:type="paragraph" w:styleId="4">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6"/>
    <w:qFormat/>
    <w:uiPriority w:val="99"/>
    <w:pPr>
      <w:spacing w:after="120"/>
    </w:pPr>
    <w:rPr>
      <w:rFonts w:cs="Times New Roman"/>
      <w:kern w:val="0"/>
    </w:rPr>
  </w:style>
  <w:style w:type="paragraph" w:styleId="6">
    <w:name w:val="Body Text First Indent 2"/>
    <w:basedOn w:val="7"/>
    <w:unhideWhenUsed/>
    <w:qFormat/>
    <w:uiPriority w:val="0"/>
    <w:pPr>
      <w:ind w:firstLine="420" w:firstLineChars="200"/>
    </w:pPr>
    <w:rPr>
      <w:lang w:val="en-US" w:eastAsia="zh-CN"/>
    </w:rPr>
  </w:style>
  <w:style w:type="paragraph" w:styleId="7">
    <w:name w:val="Body Text Indent"/>
    <w:basedOn w:val="1"/>
    <w:qFormat/>
    <w:uiPriority w:val="0"/>
    <w:pPr>
      <w:spacing w:line="400" w:lineRule="atLeast"/>
      <w:ind w:firstLine="560" w:firstLineChars="200"/>
    </w:pPr>
    <w:rPr>
      <w:rFonts w:hint="eastAsia" w:ascii="仿宋_GB2312" w:hAnsi="LinePrinter" w:eastAsia="仿宋_GB2312"/>
      <w:sz w:val="28"/>
      <w:szCs w:val="20"/>
    </w:rPr>
  </w:style>
  <w:style w:type="paragraph" w:styleId="8">
    <w:name w:val="Date"/>
    <w:basedOn w:val="1"/>
    <w:next w:val="1"/>
    <w:qFormat/>
    <w:uiPriority w:val="0"/>
    <w:pPr>
      <w:ind w:left="100" w:leftChars="2500"/>
    </w:pPr>
    <w:rPr>
      <w:rFonts w:ascii="仿宋_GB2312" w:eastAsia="仿宋_GB2312"/>
      <w:sz w:val="28"/>
    </w:rPr>
  </w:style>
  <w:style w:type="paragraph" w:styleId="9">
    <w:name w:val="Body Text Indent 2"/>
    <w:basedOn w:val="1"/>
    <w:qFormat/>
    <w:uiPriority w:val="0"/>
    <w:pPr>
      <w:spacing w:line="560" w:lineRule="exact"/>
      <w:ind w:firstLine="560"/>
    </w:pPr>
    <w:rPr>
      <w:rFonts w:ascii="仿宋_GB2312" w:hAnsi="宋体" w:eastAsia="仿宋_GB2312"/>
      <w:sz w:val="28"/>
      <w:szCs w:val="20"/>
    </w:rPr>
  </w:style>
  <w:style w:type="paragraph" w:styleId="10">
    <w:name w:val="Balloon Text"/>
    <w:basedOn w:val="1"/>
    <w:link w:val="2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607"/>
      </w:tabs>
      <w:spacing w:line="360" w:lineRule="auto"/>
    </w:pPr>
    <w:rPr>
      <w:rFonts w:ascii="宋体" w:hAnsi="宋体"/>
    </w:rPr>
  </w:style>
  <w:style w:type="paragraph" w:styleId="15">
    <w:name w:val="Normal (Web)"/>
    <w:basedOn w:val="1"/>
    <w:qFormat/>
    <w:uiPriority w:val="0"/>
    <w:rPr>
      <w:sz w:val="24"/>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qFormat/>
    <w:uiPriority w:val="0"/>
  </w:style>
  <w:style w:type="character" w:customStyle="1" w:styleId="21">
    <w:name w:val="标题 3 字符"/>
    <w:link w:val="4"/>
    <w:semiHidden/>
    <w:qFormat/>
    <w:uiPriority w:val="0"/>
    <w:rPr>
      <w:b/>
      <w:bCs/>
      <w:kern w:val="2"/>
      <w:sz w:val="32"/>
      <w:szCs w:val="32"/>
    </w:rPr>
  </w:style>
  <w:style w:type="character" w:customStyle="1" w:styleId="22">
    <w:name w:val="批注框文本 字符"/>
    <w:link w:val="10"/>
    <w:qFormat/>
    <w:uiPriority w:val="0"/>
    <w:rPr>
      <w:kern w:val="2"/>
      <w:sz w:val="18"/>
      <w:szCs w:val="18"/>
    </w:rPr>
  </w:style>
  <w:style w:type="character" w:customStyle="1" w:styleId="23">
    <w:name w:val="页眉 字符"/>
    <w:link w:val="13"/>
    <w:qFormat/>
    <w:uiPriority w:val="99"/>
    <w:rPr>
      <w:kern w:val="2"/>
      <w:sz w:val="18"/>
      <w:szCs w:val="18"/>
    </w:rPr>
  </w:style>
  <w:style w:type="character" w:customStyle="1" w:styleId="24">
    <w:name w:val="页脚2 Char"/>
    <w:link w:val="25"/>
    <w:qFormat/>
    <w:uiPriority w:val="0"/>
    <w:rPr>
      <w:rFonts w:ascii="宋体" w:hAnsi="宋体"/>
      <w:sz w:val="18"/>
    </w:rPr>
  </w:style>
  <w:style w:type="paragraph" w:customStyle="1" w:styleId="25">
    <w:name w:val="页脚2"/>
    <w:basedOn w:val="1"/>
    <w:link w:val="24"/>
    <w:qFormat/>
    <w:uiPriority w:val="0"/>
    <w:pPr>
      <w:widowControl/>
      <w:pBdr>
        <w:top w:val="single" w:color="auto" w:sz="6" w:space="0"/>
      </w:pBdr>
      <w:jc w:val="right"/>
      <w:textAlignment w:val="center"/>
    </w:pPr>
    <w:rPr>
      <w:rFonts w:ascii="宋体" w:hAnsi="宋体"/>
      <w:kern w:val="0"/>
      <w:sz w:val="18"/>
      <w:szCs w:val="20"/>
    </w:rPr>
  </w:style>
  <w:style w:type="character" w:customStyle="1" w:styleId="26">
    <w:name w:val="style171"/>
    <w:qFormat/>
    <w:uiPriority w:val="0"/>
    <w:rPr>
      <w:color w:val="000000"/>
    </w:rPr>
  </w:style>
  <w:style w:type="paragraph" w:styleId="27">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msonormal 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font51"/>
    <w:qFormat/>
    <w:uiPriority w:val="0"/>
    <w:rPr>
      <w:rFonts w:ascii="微软雅黑" w:hAnsi="微软雅黑" w:eastAsia="微软雅黑" w:cs="微软雅黑"/>
      <w:color w:val="000000"/>
      <w:sz w:val="24"/>
      <w:szCs w:val="24"/>
      <w:u w:val="none"/>
    </w:rPr>
  </w:style>
  <w:style w:type="character" w:customStyle="1" w:styleId="30">
    <w:name w:val="font21"/>
    <w:qFormat/>
    <w:uiPriority w:val="0"/>
    <w:rPr>
      <w:rFonts w:hint="eastAsia" w:ascii="宋体" w:hAnsi="宋体" w:eastAsia="宋体" w:cs="宋体"/>
      <w:color w:val="000000"/>
      <w:sz w:val="20"/>
      <w:szCs w:val="20"/>
      <w:u w:val="none"/>
    </w:rPr>
  </w:style>
  <w:style w:type="character" w:customStyle="1" w:styleId="31">
    <w:name w:val="font41"/>
    <w:qFormat/>
    <w:uiPriority w:val="0"/>
    <w:rPr>
      <w:rFonts w:hint="eastAsia" w:ascii="宋体" w:hAnsi="宋体" w:eastAsia="宋体" w:cs="宋体"/>
      <w:b/>
      <w:bCs/>
      <w:color w:val="000000"/>
      <w:sz w:val="32"/>
      <w:szCs w:val="32"/>
      <w:u w:val="none"/>
    </w:rPr>
  </w:style>
  <w:style w:type="character" w:customStyle="1" w:styleId="32">
    <w:name w:val="font31"/>
    <w:qFormat/>
    <w:uiPriority w:val="0"/>
    <w:rPr>
      <w:rFonts w:hint="eastAsia" w:ascii="宋体" w:hAnsi="宋体" w:eastAsia="宋体" w:cs="宋体"/>
      <w:color w:val="000000"/>
      <w:sz w:val="32"/>
      <w:szCs w:val="32"/>
      <w:u w:val="none"/>
    </w:rPr>
  </w:style>
  <w:style w:type="paragraph" w:customStyle="1" w:styleId="33">
    <w:name w:val="Table Text"/>
    <w:basedOn w:val="1"/>
    <w:semiHidden/>
    <w:qFormat/>
    <w:uiPriority w:val="0"/>
    <w:rPr>
      <w:rFonts w:ascii="微软雅黑" w:hAnsi="微软雅黑" w:eastAsia="微软雅黑" w:cs="微软雅黑"/>
      <w:sz w:val="15"/>
      <w:szCs w:val="15"/>
      <w:lang w:val="en-US" w:eastAsia="en-US" w:bidi="ar-SA"/>
    </w:rPr>
  </w:style>
  <w:style w:type="table" w:customStyle="1" w:styleId="34">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9700</Words>
  <Characters>10352</Characters>
  <Lines>125</Lines>
  <Paragraphs>35</Paragraphs>
  <TotalTime>0</TotalTime>
  <ScaleCrop>false</ScaleCrop>
  <LinksUpToDate>false</LinksUpToDate>
  <CharactersWithSpaces>10609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2016-10-20T06:33:00Z</dcterms:created>
  <dc:creator>win98se</dc:creator>
  <cp:lastModifiedBy>bolo</cp:lastModifiedBy>
  <cp:lastPrinted>2023-09-01T06:52:00Z</cp:lastPrinted>
  <dcterms:modified xsi:type="dcterms:W3CDTF">2025-11-03T02:15:44Z</dcterms:modified>
  <dc:title>询价通知单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4D3DC8117FB842DD8036987ED20FC518</vt:lpwstr>
  </property>
</Properties>
</file>