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rPr>
          <w:rFonts w:hint="eastAsia" w:ascii="Calibri" w:hAnsi="Calibri"/>
        </w:rPr>
      </w:pPr>
      <w:r>
        <w:rPr>
          <w:rFonts w:hint="eastAsia" w:ascii="Calibri" w:hAnsi="Calibri"/>
        </w:rPr>
        <w:t>附件三：</w:t>
      </w:r>
    </w:p>
    <w:p>
      <w:pPr>
        <w:widowControl/>
        <w:ind w:firstLine="405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交通工程系教学</w:t>
      </w:r>
      <w:r>
        <w:rPr>
          <w:rFonts w:ascii="宋体" w:hAnsi="宋体" w:cs="宋体"/>
          <w:b/>
          <w:bCs/>
          <w:sz w:val="28"/>
          <w:szCs w:val="28"/>
        </w:rPr>
        <w:t>仪器</w:t>
      </w:r>
      <w:r>
        <w:rPr>
          <w:rFonts w:hint="eastAsia" w:ascii="宋体" w:hAnsi="宋体" w:cs="宋体"/>
          <w:b/>
          <w:bCs/>
          <w:sz w:val="28"/>
          <w:szCs w:val="28"/>
        </w:rPr>
        <w:t>设备</w:t>
      </w:r>
      <w:r>
        <w:rPr>
          <w:rFonts w:ascii="宋体" w:hAnsi="宋体" w:cs="宋体"/>
          <w:b/>
          <w:bCs/>
          <w:sz w:val="28"/>
          <w:szCs w:val="28"/>
        </w:rPr>
        <w:t>搬迁</w:t>
      </w:r>
      <w:r>
        <w:rPr>
          <w:rFonts w:hint="eastAsia" w:ascii="宋体" w:hAnsi="宋体" w:cs="宋体"/>
          <w:b/>
          <w:bCs/>
          <w:sz w:val="28"/>
          <w:szCs w:val="28"/>
        </w:rPr>
        <w:t>采购项目</w:t>
      </w:r>
    </w:p>
    <w:p>
      <w:pPr>
        <w:widowControl/>
        <w:ind w:firstLine="405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招标评标办法</w:t>
      </w:r>
    </w:p>
    <w:p>
      <w:pPr>
        <w:spacing w:line="320" w:lineRule="exact"/>
        <w:ind w:firstLine="560" w:firstLineChars="200"/>
        <w:outlineLvl w:val="0"/>
        <w:rPr>
          <w:rFonts w:ascii="宋体" w:hAnsi="宋体" w:cs="Courier New"/>
          <w:sz w:val="28"/>
          <w:szCs w:val="28"/>
        </w:rPr>
      </w:pP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本次采购采用邀标公开竞价的方式。</w:t>
      </w: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评标成员由学院教学设备与资产管理中心组织专家库成员5人及以上单数组成，评委单独打分，对投标人的投标报价、销售业绩、实施方案、服务承诺等方面内容按百分制打分。</w:t>
      </w: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一、报价分70分</w:t>
      </w: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投标人对竞价的采购服务进行报价，价格分按公式计算（小数点后保留2位）：报价得分=[有效报价人最低报价（元）／某报价人报价（元）]×70分</w:t>
      </w: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二、销售业绩案例9分</w:t>
      </w: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投标人选取1~3个近三年以来类似规模销售案例的合同（复印件）及相关图示，每提供1个得3分，本项满分9分。</w:t>
      </w: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三、本项目实施方案及服务承诺21分</w:t>
      </w: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针对本项目的内容和要求，提供相应实施方案、服务承诺等，评分标准：一档15-21分；二档8-14分；三档1-7分。 </w:t>
      </w: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四、总评分结果选定</w:t>
      </w:r>
    </w:p>
    <w:p>
      <w:pPr>
        <w:pStyle w:val="2"/>
        <w:spacing w:before="312" w:beforeLines="100" w:line="360" w:lineRule="exact"/>
        <w:ind w:firstLine="560" w:firstLineChars="200"/>
        <w:jc w:val="both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取评委平均分，按分数高低排序，得分最高者为第一中标候选服务商，其次为第二、第三候选服务商。</w:t>
      </w:r>
    </w:p>
    <w:p>
      <w:pPr>
        <w:spacing w:line="44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67F02"/>
    <w:rsid w:val="261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  <w:pPr>
      <w:jc w:val="left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2021-07-13T08:17:00Z</dcterms:created>
  <dc:creator>小辣椒</dc:creator>
  <cp:lastModifiedBy>小辣椒</cp:lastModifiedBy>
  <dcterms:modified xsi:type="dcterms:W3CDTF">2021-07-13T08:18:07Z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41D9A80D49224BC9B509034CE998E6FE</vt:lpwstr>
  </property>
</Properties>
</file>